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Architect Services — Uganda Kampala</w:t>
      </w:r>
    </w:p>
    <w:bookmarkEnd w:id="20"/>
    <w:p>
      <w:pPr>
        <w:pStyle w:val="BodyText"/>
      </w:pPr>
      <w:r>
        <w:rPr>
          <w:bCs/>
          <w:b/>
        </w:rPr>
        <w:t xml:space="preserve">Quotation Estimate No.:</w:t>
      </w:r>
      <w:r>
        <w:t xml:space="preserve"> </w:t>
      </w:r>
      <w:r>
        <w:t xml:space="preserve">QTE-UGA-KLA-2025-0472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br/>
      </w:r>
      <w:r>
        <w:t xml:space="preserve">Kampala Design &amp; Architecture Studio Ltd.</w:t>
      </w:r>
      <w:r>
        <w:br/>
      </w:r>
      <w:r>
        <w:t xml:space="preserve">Plot 14, Kampala Road, P.O. Box 3842</w:t>
      </w:r>
      <w:r>
        <w:br/>
      </w:r>
      <w:r>
        <w:t xml:space="preserve">Kampala, Uganda</w:t>
      </w:r>
      <w:r>
        <w:br/>
      </w:r>
      <w:r>
        <w:t xml:space="preserve">Tel: +256 772 554 890</w:t>
      </w:r>
      <w:r>
        <w:br/>
      </w:r>
      <w:r>
        <w:t xml:space="preserve">Email: info@kampaladesignarch.co.ug</w:t>
      </w:r>
      <w:r>
        <w:br/>
      </w:r>
      <w:r>
        <w:t xml:space="preserve">Registration No.: UG-REG-2019-08841</w:t>
      </w:r>
    </w:p>
    <w:p>
      <w:pPr>
        <w:pStyle w:val="BodyText"/>
      </w:pPr>
      <w:r>
        <w:rPr>
          <w:bCs/>
          <w:b/>
        </w:rPr>
        <w:t xml:space="preserve">Prepared For:</w:t>
      </w:r>
      <w:r>
        <w:br/>
      </w:r>
      <w:r>
        <w:t xml:space="preserve">Mr. James Okello</w:t>
      </w:r>
      <w:r>
        <w:br/>
      </w:r>
      <w:r>
        <w:t xml:space="preserve">Okello Holdings &amp; Properties Ltd.</w:t>
      </w:r>
      <w:r>
        <w:br/>
      </w:r>
      <w:r>
        <w:t xml:space="preserve">Plot 7, Ntinda Avenue</w:t>
      </w:r>
      <w:r>
        <w:br/>
      </w:r>
      <w:r>
        <w:t xml:space="preserve">Kampala, Uganda</w:t>
      </w:r>
      <w:r>
        <w:br/>
      </w:r>
      <w:r>
        <w:t xml:space="preserve">Tel: +256 701 233 456</w:t>
      </w:r>
      <w:r>
        <w:br/>
      </w:r>
      <w:r>
        <w:t xml:space="preserve">Email: j.okello@okelloholdings.ug</w:t>
      </w:r>
    </w:p>
    <w:bookmarkStart w:id="21" w:name="project-overview"/>
    <w:p>
      <w:pPr>
        <w:pStyle w:val="Heading2"/>
      </w:pPr>
      <w:r>
        <w:t xml:space="preserve">1. Project Overview</w:t>
      </w:r>
    </w:p>
    <w:p>
      <w:pPr>
        <w:pStyle w:val="FirstParagraph"/>
      </w:pPr>
      <w:r>
        <w:t xml:space="preserve">This Quotation Estimate is issued by Kampala Design &amp; Architecture Studio Ltd. (hereinafter referred to as "the Architect") in response to the written request from Okello Holdings &amp; Properties Ltd. for comprehensive architectural design and consultancy services for a mixed-use commercial and residential development located in the Ntinda area of Kampala, Uganda. The Architect has reviewed the site survey documents, preliminary client brief, and applicable building regulations as set out by the Uganda National Environment Management Authority (NEMA) and the Kampala Capital City Authority (KCCA) Building Department.</w:t>
      </w:r>
    </w:p>
    <w:bookmarkEnd w:id="21"/>
    <w:bookmarkStart w:id="22" w:name="scope-of-architect-services"/>
    <w:p>
      <w:pPr>
        <w:pStyle w:val="Heading2"/>
      </w:pPr>
      <w:r>
        <w:t xml:space="preserve">2. Scope of Architect Services</w:t>
      </w:r>
    </w:p>
    <w:p>
      <w:pPr>
        <w:pStyle w:val="FirstParagraph"/>
      </w:pPr>
      <w:r>
        <w:t xml:space="preserve">The Architect shall provide the following professional services as part of this Quotation Estimate engagement:</w:t>
      </w:r>
    </w:p>
    <w:p>
      <w:pPr>
        <w:numPr>
          <w:ilvl w:val="0"/>
          <w:numId w:val="1001"/>
        </w:numPr>
        <w:pStyle w:val="Compact"/>
      </w:pPr>
      <w:r>
        <w:rPr>
          <w:bCs/>
          <w:b/>
        </w:rPr>
        <w:t xml:space="preserve">Concept Design Development:</w:t>
      </w:r>
      <w:r>
        <w:t xml:space="preserve"> </w:t>
      </w:r>
      <w:r>
        <w:t xml:space="preserve">Preparation of initial architectural concept drawings, massing studies, and site layout plans for the mixed-use development comprising a four-storey commercial podium and two residential towers, each with six floors, situated on a 2,400 square metre plot in Kampala.</w:t>
      </w:r>
    </w:p>
    <w:p>
      <w:pPr>
        <w:numPr>
          <w:ilvl w:val="0"/>
          <w:numId w:val="1001"/>
        </w:numPr>
        <w:pStyle w:val="Compact"/>
      </w:pPr>
      <w:r>
        <w:rPr>
          <w:bCs/>
          <w:b/>
        </w:rPr>
        <w:t xml:space="preserve">Detailed Design Documentation:</w:t>
      </w:r>
      <w:r>
        <w:t xml:space="preserve"> </w:t>
      </w:r>
      <w:r>
        <w:t xml:space="preserve">Production of full architectural working drawings including floor plans, elevations, sections, door and window schedules, and general arrangement drawings in compliance with the Uganda Building and Planning Act (Cap. 224) and KCCA development control regulations.</w:t>
      </w:r>
    </w:p>
    <w:p>
      <w:pPr>
        <w:numPr>
          <w:ilvl w:val="0"/>
          <w:numId w:val="1001"/>
        </w:numPr>
        <w:pStyle w:val="Compact"/>
      </w:pPr>
      <w:r>
        <w:rPr>
          <w:bCs/>
          <w:b/>
        </w:rPr>
        <w:t xml:space="preserve">Structural Coordination:</w:t>
      </w:r>
      <w:r>
        <w:t xml:space="preserve"> </w:t>
      </w:r>
      <w:r>
        <w:t xml:space="preserve">Liaison with the appointed structural engineer to ensure the Architect's design intent is structurally feasible and that all load-bearing elements are properly integrated into the architectural drawings.</w:t>
      </w:r>
    </w:p>
    <w:p>
      <w:pPr>
        <w:numPr>
          <w:ilvl w:val="0"/>
          <w:numId w:val="1001"/>
        </w:numPr>
        <w:pStyle w:val="Compact"/>
      </w:pPr>
      <w:r>
        <w:rPr>
          <w:bCs/>
          <w:b/>
        </w:rPr>
        <w:t xml:space="preserve">Services Coordination:</w:t>
      </w:r>
      <w:r>
        <w:t xml:space="preserve"> </w:t>
      </w:r>
      <w:r>
        <w:t xml:space="preserve">Integration of mechanical, electrical, and plumbing (MEP) systems into the architectural design, including coordination with the Uganda Electricity Transmission Company (UETCO) for power supply planning and the Uganda Water and Sewerage Corporation (UWSC) for water and drainage connections.</w:t>
      </w:r>
    </w:p>
    <w:p>
      <w:pPr>
        <w:numPr>
          <w:ilvl w:val="0"/>
          <w:numId w:val="1001"/>
        </w:numPr>
        <w:pStyle w:val="Compact"/>
      </w:pPr>
      <w:r>
        <w:rPr>
          <w:bCs/>
          <w:b/>
        </w:rPr>
        <w:t xml:space="preserve">Regulatory Submissions:</w:t>
      </w:r>
      <w:r>
        <w:t xml:space="preserve"> </w:t>
      </w:r>
      <w:r>
        <w:t xml:space="preserve">Preparation and submission of all necessary documentation to the KCCA Building Department, NEMA, and the Uganda National Roads Authority (UNRA) for statutory approvals, permits, and environmental impact assessment clearance.</w:t>
      </w:r>
    </w:p>
    <w:p>
      <w:pPr>
        <w:numPr>
          <w:ilvl w:val="0"/>
          <w:numId w:val="1001"/>
        </w:numPr>
        <w:pStyle w:val="Compact"/>
      </w:pPr>
      <w:r>
        <w:rPr>
          <w:bCs/>
          <w:b/>
        </w:rPr>
        <w:t xml:space="preserve">Construction Phase Support:</w:t>
      </w:r>
      <w:r>
        <w:t xml:space="preserve"> </w:t>
      </w:r>
      <w:r>
        <w:t xml:space="preserve">Site supervision, progress inspections, and issuance of architectural certificates at each stage of construction to ensure compliance with the approved design. The Architect will conduct bi-weekly site visits throughout the construction period.</w:t>
      </w:r>
    </w:p>
    <w:p>
      <w:pPr>
        <w:numPr>
          <w:ilvl w:val="0"/>
          <w:numId w:val="1001"/>
        </w:numPr>
        <w:pStyle w:val="Compact"/>
      </w:pPr>
      <w:r>
        <w:rPr>
          <w:bCs/>
          <w:b/>
        </w:rPr>
        <w:t xml:space="preserve">Interior Design Consultation:</w:t>
      </w:r>
      <w:r>
        <w:t xml:space="preserve"> </w:t>
      </w:r>
      <w:r>
        <w:t xml:space="preserve">Provision of basic interior design guidance for the ground-floor retail spaces and the residential common areas, including material palettes, lighting concepts, and furniture layout recommendations.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Concept Design Development &amp; Site Layout</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Detailed Architectural Working Drawings (All Floors)</w:t>
            </w:r>
          </w:p>
        </w:tc>
        <w:tc>
          <w:tcPr/>
          <w:p>
            <w:pPr>
              <w:pStyle w:val="Compact"/>
              <w:jc w:val="left"/>
            </w:pPr>
            <w:r>
              <w:t xml:space="preserve">Lump Sum</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Structural &amp; MEP Coordination</w:t>
            </w:r>
          </w:p>
        </w:tc>
        <w:tc>
          <w:tcPr/>
          <w:p>
            <w:pPr>
              <w:pStyle w:val="Compact"/>
              <w:jc w:val="left"/>
            </w:pPr>
            <w:r>
              <w:t xml:space="preserve">Lump Sum</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Regulatory Submissions &amp; Permit Processing (KCCA, NEMA, UNRA)</w:t>
            </w:r>
          </w:p>
        </w:tc>
        <w:tc>
          <w:tcPr/>
          <w:p>
            <w:pPr>
              <w:pStyle w:val="Compact"/>
              <w:jc w:val="left"/>
            </w:pPr>
            <w:r>
              <w:t xml:space="preserve">Lump Sum</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5</w:t>
            </w:r>
          </w:p>
        </w:tc>
        <w:tc>
          <w:tcPr/>
          <w:p>
            <w:pPr>
              <w:pStyle w:val="Compact"/>
              <w:jc w:val="left"/>
            </w:pPr>
            <w:r>
              <w:t xml:space="preserve">Construction Phase Site Supervision (Bi-weekly visits, 18 months)</w:t>
            </w:r>
          </w:p>
        </w:tc>
        <w:tc>
          <w:tcPr/>
          <w:p>
            <w:pPr>
              <w:pStyle w:val="Compact"/>
              <w:jc w:val="left"/>
            </w:pPr>
            <w:r>
              <w:t xml:space="preserve">Per Month</w:t>
            </w:r>
          </w:p>
        </w:tc>
        <w:tc>
          <w:tcPr/>
          <w:p>
            <w:pPr>
              <w:pStyle w:val="Compact"/>
              <w:jc w:val="left"/>
            </w:pPr>
            <w:r>
              <w:t xml:space="preserve">3,200,000</w:t>
            </w:r>
          </w:p>
        </w:tc>
        <w:tc>
          <w:tcPr/>
          <w:p>
            <w:pPr>
              <w:pStyle w:val="Compact"/>
              <w:jc w:val="left"/>
            </w:pPr>
            <w:r>
              <w:t xml:space="preserve">57,600,000</w:t>
            </w:r>
          </w:p>
        </w:tc>
      </w:tr>
      <w:tr>
        <w:tc>
          <w:tcPr/>
          <w:p>
            <w:pPr>
              <w:pStyle w:val="Compact"/>
              <w:jc w:val="left"/>
            </w:pPr>
            <w:r>
              <w:t xml:space="preserve">6</w:t>
            </w:r>
          </w:p>
        </w:tc>
        <w:tc>
          <w:tcPr/>
          <w:p>
            <w:pPr>
              <w:pStyle w:val="Compact"/>
              <w:jc w:val="left"/>
            </w:pPr>
            <w:r>
              <w:t xml:space="preserve">Interior Design Consultation (Retail &amp; Common Areas)</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7</w:t>
            </w:r>
          </w:p>
        </w:tc>
        <w:tc>
          <w:tcPr/>
          <w:p>
            <w:pPr>
              <w:pStyle w:val="Compact"/>
              <w:jc w:val="left"/>
            </w:pPr>
            <w:r>
              <w:t xml:space="preserve">3D Visualisation &amp; Rendering (Exterior &amp; Key Interiors)</w:t>
            </w:r>
          </w:p>
        </w:tc>
        <w:tc>
          <w:tcPr/>
          <w:p>
            <w:pPr>
              <w:pStyle w:val="Compact"/>
              <w:jc w:val="left"/>
            </w:pPr>
            <w:r>
              <w:t xml:space="preserve">Lump Sum</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8</w:t>
            </w:r>
          </w:p>
        </w:tc>
        <w:tc>
          <w:tcPr/>
          <w:p>
            <w:pPr>
              <w:pStyle w:val="Compact"/>
              <w:jc w:val="left"/>
            </w:pPr>
            <w:r>
              <w:t xml:space="preserve">Project Management &amp; Administrative Overheads</w:t>
            </w:r>
          </w:p>
        </w:tc>
        <w:tc>
          <w:tcPr/>
          <w:p>
            <w:pPr>
              <w:pStyle w:val="Compact"/>
              <w:jc w:val="left"/>
            </w:pPr>
            <w:r>
              <w:t xml:space="preserve">Lump Sum</w:t>
            </w:r>
          </w:p>
        </w:tc>
        <w:tc>
          <w:tcPr/>
          <w:p>
            <w:pPr>
              <w:pStyle w:val="Compact"/>
              <w:jc w:val="left"/>
            </w:pPr>
            <w:r>
              <w:t xml:space="preserve">10,000,000</w:t>
            </w:r>
          </w:p>
        </w:tc>
        <w:tc>
          <w:tcPr/>
          <w:p>
            <w:pPr>
              <w:pStyle w:val="Compact"/>
              <w:jc w:val="left"/>
            </w:pPr>
            <w:r>
              <w:t xml:space="preserve">10,000,000</w:t>
            </w:r>
          </w:p>
        </w:tc>
      </w:tr>
      <w:tr>
        <w:tc>
          <w:tcPr>
            <w:gridSpan w:val="4"/>
          </w:tcPr>
          <w:p>
            <w:pPr>
              <w:pStyle w:val="Compact"/>
              <w:jc w:val="right"/>
            </w:pPr>
            <w:r>
              <w:t xml:space="preserve">Subtotal (UGX)</w:t>
            </w:r>
          </w:p>
        </w:tc>
        <w:tc>
          <w:tcPr/>
          <w:p>
            <w:pPr>
              <w:pStyle w:val="Compact"/>
              <w:jc w:val="left"/>
            </w:pPr>
            <w:r>
              <w:t xml:space="preserve">136,100,000</w:t>
            </w:r>
          </w:p>
        </w:tc>
      </w:tr>
      <w:tr>
        <w:tc>
          <w:tcPr>
            <w:gridSpan w:val="4"/>
          </w:tcPr>
          <w:p>
            <w:pPr>
              <w:pStyle w:val="Compact"/>
              <w:jc w:val="right"/>
            </w:pPr>
            <w:r>
              <w:t xml:space="preserve">VAT @ 18%</w:t>
            </w:r>
          </w:p>
        </w:tc>
        <w:tc>
          <w:tcPr/>
          <w:p>
            <w:pPr>
              <w:pStyle w:val="Compact"/>
              <w:jc w:val="left"/>
            </w:pPr>
            <w:r>
              <w:t xml:space="preserve">24,498,000</w:t>
            </w:r>
          </w:p>
        </w:tc>
      </w:tr>
      <w:tr>
        <w:tc>
          <w:tcPr>
            <w:gridSpan w:val="4"/>
          </w:tcPr>
          <w:p>
            <w:pPr>
              <w:pStyle w:val="Compact"/>
              <w:jc w:val="right"/>
            </w:pPr>
            <w:r>
              <w:rPr>
                <w:bCs/>
                <w:b/>
              </w:rPr>
              <w:t xml:space="preserve">TOTAL QUOTATION ESTIMATE (UGX)</w:t>
            </w:r>
          </w:p>
        </w:tc>
        <w:tc>
          <w:tcPr/>
          <w:p>
            <w:pPr>
              <w:pStyle w:val="Compact"/>
              <w:jc w:val="left"/>
            </w:pPr>
            <w:r>
              <w:rPr>
                <w:bCs/>
                <w:b/>
              </w:rPr>
              <w:t xml:space="preserve">160,598,000</w:t>
            </w:r>
          </w:p>
        </w:tc>
      </w:tr>
    </w:tbl>
    <w:p>
      <w:pPr>
        <w:pStyle w:val="BodyText"/>
      </w:pPr>
      <w:r>
        <w:t xml:space="preserve">All amounts are quoted in Ugandan Shillings (UGX). The total Quotation Estimate of UGX 160,598,000 (One Hundred and Sixty Million Five Hundred and Ninety-Eight Thousand Ugandan Shillings) is inclusive of all professional fees, travel within Kampala, and standard project documentation. Any travel outside the Kampala metropolitan area will be billed separately at cost.</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(UGX)</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32,119,600</w:t>
            </w:r>
          </w:p>
        </w:tc>
        <w:tc>
          <w:tcPr/>
          <w:p>
            <w:pPr>
              <w:pStyle w:val="Compact"/>
              <w:jc w:val="left"/>
            </w:pPr>
            <w:r>
              <w:t xml:space="preserve">Upon signing of the Architect's engagement contract</w:t>
            </w:r>
          </w:p>
        </w:tc>
      </w:tr>
      <w:tr>
        <w:tc>
          <w:tcPr/>
          <w:p>
            <w:pPr>
              <w:pStyle w:val="Compact"/>
              <w:jc w:val="left"/>
            </w:pPr>
            <w:r>
              <w:t xml:space="preserve">Concept Design Approval</w:t>
            </w:r>
          </w:p>
        </w:tc>
        <w:tc>
          <w:tcPr/>
          <w:p>
            <w:pPr>
              <w:pStyle w:val="Compact"/>
              <w:jc w:val="left"/>
            </w:pPr>
            <w:r>
              <w:t xml:space="preserve">15%</w:t>
            </w:r>
          </w:p>
        </w:tc>
        <w:tc>
          <w:tcPr/>
          <w:p>
            <w:pPr>
              <w:pStyle w:val="Compact"/>
              <w:jc w:val="left"/>
            </w:pPr>
            <w:r>
              <w:t xml:space="preserve">24,089,700</w:t>
            </w:r>
          </w:p>
        </w:tc>
        <w:tc>
          <w:tcPr/>
          <w:p>
            <w:pPr>
              <w:pStyle w:val="Compact"/>
              <w:jc w:val="left"/>
            </w:pPr>
            <w:r>
              <w:t xml:space="preserve">Client written approval of concept drawings</w:t>
            </w:r>
          </w:p>
        </w:tc>
      </w:tr>
      <w:tr>
        <w:tc>
          <w:tcPr/>
          <w:p>
            <w:pPr>
              <w:pStyle w:val="Compact"/>
              <w:jc w:val="left"/>
            </w:pPr>
            <w:r>
              <w:t xml:space="preserve">Detailed Design &amp; Permit Approval</w:t>
            </w:r>
          </w:p>
        </w:tc>
        <w:tc>
          <w:tcPr/>
          <w:p>
            <w:pPr>
              <w:pStyle w:val="Compact"/>
              <w:jc w:val="left"/>
            </w:pPr>
            <w:r>
              <w:t xml:space="preserve">25%</w:t>
            </w:r>
          </w:p>
        </w:tc>
        <w:tc>
          <w:tcPr/>
          <w:p>
            <w:pPr>
              <w:pStyle w:val="Compact"/>
              <w:jc w:val="left"/>
            </w:pPr>
            <w:r>
              <w:t xml:space="preserve">40,149,500</w:t>
            </w:r>
          </w:p>
        </w:tc>
        <w:tc>
          <w:tcPr/>
          <w:p>
            <w:pPr>
              <w:pStyle w:val="Compact"/>
              <w:jc w:val="left"/>
            </w:pPr>
            <w:r>
              <w:t xml:space="preserve">Issuance of KCCA building permit</w:t>
            </w:r>
          </w:p>
        </w:tc>
      </w:tr>
      <w:tr>
        <w:tc>
          <w:tcPr/>
          <w:p>
            <w:pPr>
              <w:pStyle w:val="Compact"/>
              <w:jc w:val="left"/>
            </w:pPr>
            <w:r>
              <w:t xml:space="preserve">Construction Phase (Monthly)</w:t>
            </w:r>
          </w:p>
        </w:tc>
        <w:tc>
          <w:tcPr/>
          <w:p>
            <w:pPr>
              <w:pStyle w:val="Compact"/>
              <w:jc w:val="left"/>
            </w:pPr>
            <w:r>
              <w:t xml:space="preserve">35%</w:t>
            </w:r>
          </w:p>
        </w:tc>
        <w:tc>
          <w:tcPr/>
          <w:p>
            <w:pPr>
              <w:pStyle w:val="Compact"/>
              <w:jc w:val="left"/>
            </w:pPr>
            <w:r>
              <w:t xml:space="preserve">56,209,300</w:t>
            </w:r>
          </w:p>
        </w:tc>
        <w:tc>
          <w:tcPr/>
          <w:p>
            <w:pPr>
              <w:pStyle w:val="Compact"/>
              <w:jc w:val="left"/>
            </w:pPr>
            <w:r>
              <w:t xml:space="preserve">Bi-weekly progress certificates issued by the Architect</w:t>
            </w:r>
          </w:p>
        </w:tc>
      </w:tr>
      <w:tr>
        <w:tc>
          <w:tcPr/>
          <w:p>
            <w:pPr>
              <w:pStyle w:val="Compact"/>
              <w:jc w:val="left"/>
            </w:pPr>
            <w:r>
              <w:t xml:space="preserve">Practical Completion &amp; Handover</w:t>
            </w:r>
          </w:p>
        </w:tc>
        <w:tc>
          <w:tcPr/>
          <w:p>
            <w:pPr>
              <w:pStyle w:val="Compact"/>
              <w:jc w:val="left"/>
            </w:pPr>
            <w:r>
              <w:t xml:space="preserve">5%</w:t>
            </w:r>
          </w:p>
        </w:tc>
        <w:tc>
          <w:tcPr/>
          <w:p>
            <w:pPr>
              <w:pStyle w:val="Compact"/>
              <w:jc w:val="left"/>
            </w:pPr>
            <w:r>
              <w:t xml:space="preserve">8,029,900</w:t>
            </w:r>
          </w:p>
        </w:tc>
        <w:tc>
          <w:tcPr/>
          <w:p>
            <w:pPr>
              <w:pStyle w:val="Compact"/>
              <w:jc w:val="left"/>
            </w:pPr>
            <w:r>
              <w:t xml:space="preserve">Final Architect's completion certificate</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the Architect reserves the right to revise fees due to changes in material costs, exchange rates, or professional fee structures in Uganda.</w:t>
      </w:r>
    </w:p>
    <w:p>
      <w:pPr>
        <w:numPr>
          <w:ilvl w:val="0"/>
          <w:numId w:val="1002"/>
        </w:numPr>
        <w:pStyle w:val="Compact"/>
      </w:pPr>
      <w:r>
        <w:t xml:space="preserve">All payments shall be made in Ugandan Shillings via bank transfer to the Architect's designated account at Stanbic Bank Uganda, Kampala Branch, within fourteen (14) days of invoice issuance.</w:t>
      </w:r>
    </w:p>
    <w:p>
      <w:pPr>
        <w:numPr>
          <w:ilvl w:val="0"/>
          <w:numId w:val="1002"/>
        </w:numPr>
        <w:pStyle w:val="Compact"/>
      </w:pPr>
      <w:r>
        <w:t xml:space="preserve">The Architect shall not be liable for delays caused by the client, third-party contractors, or regulatory bodies outside the Architect's reasonable control, including but not limited to KCCA processing delays or NEMA review periods.</w:t>
      </w:r>
    </w:p>
    <w:p>
      <w:pPr>
        <w:numPr>
          <w:ilvl w:val="0"/>
          <w:numId w:val="1002"/>
        </w:numPr>
        <w:pStyle w:val="Compact"/>
      </w:pPr>
      <w:r>
        <w:t xml:space="preserve">Any variation or change order to the scope of work outlined in this Quotation Estimate must be agreed in writing by both parties before execution. The Architect will issue a supplementary Quotation Estimate for any additional services.</w:t>
      </w:r>
    </w:p>
    <w:p>
      <w:pPr>
        <w:numPr>
          <w:ilvl w:val="0"/>
          <w:numId w:val="1002"/>
        </w:numPr>
        <w:pStyle w:val="Compact"/>
      </w:pPr>
      <w:r>
        <w:t xml:space="preserve">The Architect retains full intellectual property rights over all design documents, drawings, and 3D visualisations produced under this engagement until full payment has been received. Upon full settlement, the client receives a non-exclusive licence to use the drawings for the specific project in Kampala.</w:t>
      </w:r>
    </w:p>
    <w:p>
      <w:pPr>
        <w:numPr>
          <w:ilvl w:val="0"/>
          <w:numId w:val="1002"/>
        </w:numPr>
        <w:pStyle w:val="Compact"/>
      </w:pPr>
      <w:r>
        <w:t xml:space="preserve">The Architect's professional indemnity insurance is maintained with a minimum cover of UGX 500,000,000, compliant with the Uganda Institution of Architects (UIA) professional standards.</w:t>
      </w:r>
    </w:p>
    <w:p>
      <w:pPr>
        <w:numPr>
          <w:ilvl w:val="0"/>
          <w:numId w:val="1002"/>
        </w:numPr>
        <w:pStyle w:val="Compact"/>
      </w:pPr>
      <w:r>
        <w:t xml:space="preserve">Disputes arising from this Quotation Estimate shall be resolved through mediation in Kampala, Uganda, in accordance with the Arbitration Act (Cap. 72) of the Laws of Uganda.</w:t>
      </w:r>
    </w:p>
    <w:p>
      <w:pPr>
        <w:pStyle w:val="FirstParagraph"/>
      </w:pPr>
      <w:r>
        <w:rPr>
          <w:bCs/>
          <w:b/>
        </w:rPr>
        <w:t xml:space="preserve">Note:</w:t>
      </w:r>
      <w:r>
        <w:t xml:space="preserve"> </w:t>
      </w:r>
      <w:r>
        <w:t xml:space="preserve">This Quotation Estimate does not include third-party statutory fees payable directly to KCCA, NEMA, UNRA, or any other government authority in Uganda. Such fees, which may include building permit charges, environmental impact assessment levies, and road access permits, will be paid by the client directly to the respective authorities and are estimated at an additional UGX 4,500,000 to UGX 7,000,000 depending on the final approved scope.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scope, and financial provisions set out in this Quotation Estimate for Architect services in Uganda Kampala.</w:t>
      </w:r>
    </w:p>
    <w:p>
      <w:pPr>
        <w:pStyle w:val="BodyText"/>
      </w:pPr>
      <w:r>
        <w:rPr>
          <w:bCs/>
          <w:b/>
        </w:rPr>
        <w:t xml:space="preserve">For and on behalf of the Architect:</w:t>
      </w:r>
      <w:r>
        <w:br/>
      </w:r>
      <w:r>
        <w:br/>
      </w:r>
      <w:r>
        <w:t xml:space="preserve">______________________________</w:t>
      </w:r>
      <w:r>
        <w:br/>
      </w:r>
      <w:r>
        <w:t xml:space="preserve">Name: Eng. Sarah Namuli, RIBA, UIA</w:t>
      </w:r>
      <w:r>
        <w:br/>
      </w:r>
      <w:r>
        <w:t xml:space="preserve">Title: Principal Architect &amp; Managing Director</w:t>
      </w:r>
      <w:r>
        <w:br/>
      </w:r>
      <w:r>
        <w:t xml:space="preserve">Kampala Design &amp; Architecture Studio Ltd.</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Name: Mr. James Okello</w:t>
      </w:r>
      <w:r>
        <w:br/>
      </w:r>
      <w:r>
        <w:t xml:space="preserve">Title: Managing Director</w:t>
      </w:r>
      <w:r>
        <w:br/>
      </w:r>
      <w:r>
        <w:t xml:space="preserve">Okello Holdings &amp; Properties Ltd.</w:t>
      </w:r>
      <w:r>
        <w:br/>
      </w:r>
      <w:r>
        <w:t xml:space="preserve">Date: _______________</w:t>
      </w:r>
    </w:p>
    <w:p>
      <w:pPr>
        <w:pStyle w:val="BodyText"/>
      </w:pPr>
      <w:r>
        <w:t xml:space="preserve">Kampala Design &amp; Architecture Studio Ltd. — Professional Architect Services in Uganda Kampala</w:t>
      </w:r>
      <w:r>
        <w:br/>
      </w:r>
      <w:r>
        <w:t xml:space="preserve">This Quotation Estimate document is confidential and intended solely for the named recipient. Unauthorised reproduction or distribution is prohibited.</w:t>
      </w:r>
      <w:r>
        <w:br/>
      </w:r>
      <w:r>
        <w:t xml:space="preserve">© 2025 Kampala Design &amp; Architecture Studio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Uganda Kampala</dc:title>
  <dc:creator/>
  <dc:language>en</dc:language>
  <cp:keywords/>
  <dcterms:created xsi:type="dcterms:W3CDTF">2026-10-10T01:52:23Z</dcterms:created>
  <dcterms:modified xsi:type="dcterms:W3CDTF">2026-10-10T01:52:23Z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