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Architect Services</w:t>
      </w:r>
    </w:p>
    <w:p>
      <w:pPr>
        <w:pStyle w:val="BodyText"/>
      </w:pPr>
      <w:r>
        <w:t xml:space="preserve">United Arab Emirates — Abu Dhabi</w:t>
      </w:r>
    </w:p>
    <w:bookmarkEnd w:id="20"/>
    <w:p>
      <w:pPr>
        <w:pStyle w:val="BodyText"/>
      </w:pPr>
      <w:r>
        <w:rPr>
          <w:bCs/>
          <w:b/>
        </w:rPr>
        <w:t xml:space="preserve">Prepared By:</w:t>
      </w:r>
      <w:r>
        <w:br/>
      </w:r>
      <w:r>
        <w:t xml:space="preserve">Al Noor Architectural Design Bureau LLC</w:t>
      </w:r>
      <w:r>
        <w:br/>
      </w:r>
      <w:r>
        <w:t xml:space="preserve">Office 1204, Level 12, Al Reem Island Tower</w:t>
      </w:r>
      <w:r>
        <w:br/>
      </w:r>
      <w:r>
        <w:t xml:space="preserve">Abu Dhabi, United Arab Emirates</w:t>
      </w:r>
      <w:r>
        <w:br/>
      </w:r>
      <w:r>
        <w:t xml:space="preserve">P.O. Box 45218, Abu Dhabi, UAE</w:t>
      </w:r>
      <w:r>
        <w:br/>
      </w:r>
      <w:r>
        <w:t xml:space="preserve">Tel: +971 2 445 6789</w:t>
      </w:r>
      <w:r>
        <w:br/>
      </w:r>
      <w:r>
        <w:t xml:space="preserve">Email: quotations@alnoorarch.ae</w:t>
      </w:r>
      <w:r>
        <w:br/>
      </w:r>
      <w:r>
        <w:t xml:space="preserve">Trade License No: AD-2019-78453</w:t>
      </w:r>
    </w:p>
    <w:p>
      <w:pPr>
        <w:pStyle w:val="BodyText"/>
      </w:pPr>
      <w:r>
        <w:rPr>
          <w:bCs/>
          <w:b/>
        </w:rPr>
        <w:t xml:space="preserve">Quotation Estimate No:</w:t>
      </w:r>
      <w:r>
        <w:t xml:space="preserve"> </w:t>
      </w:r>
      <w:r>
        <w:t xml:space="preserve">QTE-2025-0347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AD-RES-2025-112</w:t>
      </w:r>
      <w:r>
        <w:br/>
      </w:r>
      <w:r>
        <w:rPr>
          <w:bCs/>
          <w:b/>
        </w:rPr>
        <w:t xml:space="preserve">Prepared For:</w:t>
      </w:r>
      <w:r>
        <w:t xml:space="preserve"> </w:t>
      </w:r>
      <w:r>
        <w:t xml:space="preserve">Mr. Khalid Al Mansoori</w:t>
      </w:r>
      <w:r>
        <w:br/>
      </w:r>
      <w:r>
        <w:t xml:space="preserve">Al Mansoori Real Estate Group</w:t>
      </w:r>
      <w:r>
        <w:br/>
      </w:r>
      <w:r>
        <w:t xml:space="preserve">Corniche Road, Abu Dhabi, UAE</w:t>
      </w:r>
    </w:p>
    <w:bookmarkStart w:id="21" w:name="project-overview"/>
    <w:p>
      <w:pPr>
        <w:pStyle w:val="Heading2"/>
      </w:pPr>
      <w:r>
        <w:t xml:space="preserve">1. Project Overview</w:t>
      </w:r>
    </w:p>
    <w:p>
      <w:pPr>
        <w:pStyle w:val="FirstParagraph"/>
      </w:pPr>
      <w:r>
        <w:t xml:space="preserve">This Quotation Estimate is issued by Al Noor Architectural Design Bureau LLC, a licensed Architect firm registered in the United Arab Emirates, to provide comprehensive architectural design and consultancy services for a residential villa project located in the Al Reem Island district, Abu Dhabi, United Arab Emirates. The proposed project encompasses a four-bedroom luxury villa with a total built-up area of approximately 4,200 square meters, including ground floor, first floor, and a rooftop terrace. The Architect will manage all phases of design from conceptual development through to construction documentation, ensuring full compliance with Abu Dhabi Municipality building codes, the Department of Municipalities and Transport (DMT) regulations, and all applicable United Arab Emirates federal standards.</w:t>
      </w:r>
    </w:p>
    <w:bookmarkEnd w:id="21"/>
    <w:bookmarkStart w:id="22" w:name="scope-of-architect-services"/>
    <w:p>
      <w:pPr>
        <w:pStyle w:val="Heading2"/>
      </w:pPr>
      <w:r>
        <w:t xml:space="preserve">2. Scope of Architect Services</w:t>
      </w:r>
    </w:p>
    <w:p>
      <w:pPr>
        <w:pStyle w:val="FirstParagraph"/>
      </w:pPr>
      <w:r>
        <w:t xml:space="preserve">The Architect services outlined in this Quotation Estimate include the following deliverables and professional engagements: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Fee (AED)</w:t>
            </w:r>
          </w:p>
        </w:tc>
      </w:tr>
      <w:tr>
        <w:tc>
          <w:tcPr/>
          <w:p>
            <w:pPr>
              <w:pStyle w:val="Compact"/>
              <w:jc w:val="left"/>
            </w:pPr>
            <w:r>
              <w:t xml:space="preserve">1</w:t>
            </w:r>
          </w:p>
        </w:tc>
        <w:tc>
          <w:tcPr/>
          <w:p>
            <w:pPr>
              <w:pStyle w:val="Compact"/>
              <w:jc w:val="left"/>
            </w:pPr>
            <w:r>
              <w:t xml:space="preserve">Conceptual Design &amp; Feasibility Study</w:t>
            </w:r>
          </w:p>
        </w:tc>
        <w:tc>
          <w:tcPr/>
          <w:p>
            <w:pPr>
              <w:pStyle w:val="Compact"/>
              <w:jc w:val="left"/>
            </w:pPr>
            <w:r>
              <w:t xml:space="preserve">Site analysis, massing studies, 3D concept renders, preliminary floor plans</w:t>
            </w:r>
          </w:p>
        </w:tc>
        <w:tc>
          <w:tcPr/>
          <w:p>
            <w:pPr>
              <w:pStyle w:val="Compact"/>
              <w:jc w:val="left"/>
            </w:pPr>
            <w:r>
              <w:t xml:space="preserve">4 weeks</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Schematic Design Development</w:t>
            </w:r>
          </w:p>
        </w:tc>
        <w:tc>
          <w:tcPr/>
          <w:p>
            <w:pPr>
              <w:pStyle w:val="Compact"/>
              <w:jc w:val="left"/>
            </w:pPr>
            <w:r>
              <w:t xml:space="preserve">Detailed floor plans, elevations, sections, material palette, lighting concept</w:t>
            </w:r>
          </w:p>
        </w:tc>
        <w:tc>
          <w:tcPr/>
          <w:p>
            <w:pPr>
              <w:pStyle w:val="Compact"/>
              <w:jc w:val="left"/>
            </w:pPr>
            <w:r>
              <w:t xml:space="preserve">5 weeks</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Design Development &amp; Coordination</w:t>
            </w:r>
          </w:p>
        </w:tc>
        <w:tc>
          <w:tcPr/>
          <w:p>
            <w:pPr>
              <w:pStyle w:val="Compact"/>
              <w:jc w:val="left"/>
            </w:pPr>
            <w:r>
              <w:t xml:space="preserve">Refined drawings, MEP coordination, structural input, landscape integration</w:t>
            </w:r>
          </w:p>
        </w:tc>
        <w:tc>
          <w:tcPr/>
          <w:p>
            <w:pPr>
              <w:pStyle w:val="Compact"/>
              <w:jc w:val="left"/>
            </w:pPr>
            <w:r>
              <w:t xml:space="preserve">6 weeks</w:t>
            </w:r>
          </w:p>
        </w:tc>
        <w:tc>
          <w:tcPr/>
          <w:p>
            <w:pPr>
              <w:pStyle w:val="Compact"/>
              <w:jc w:val="left"/>
            </w:pPr>
            <w:r>
              <w:t xml:space="preserve">82,000.00</w:t>
            </w:r>
          </w:p>
        </w:tc>
      </w:tr>
      <w:tr>
        <w:tc>
          <w:tcPr/>
          <w:p>
            <w:pPr>
              <w:pStyle w:val="Compact"/>
              <w:jc w:val="left"/>
            </w:pPr>
            <w:r>
              <w:t xml:space="preserve">4</w:t>
            </w:r>
          </w:p>
        </w:tc>
        <w:tc>
          <w:tcPr/>
          <w:p>
            <w:pPr>
              <w:pStyle w:val="Compact"/>
              <w:jc w:val="left"/>
            </w:pPr>
            <w:r>
              <w:t xml:space="preserve">Construction Documentation</w:t>
            </w:r>
          </w:p>
        </w:tc>
        <w:tc>
          <w:tcPr/>
          <w:p>
            <w:pPr>
              <w:pStyle w:val="Compact"/>
              <w:jc w:val="left"/>
            </w:pPr>
            <w:r>
              <w:t xml:space="preserve">Full set of construction drawings, specifications, BOQ, tender documents</w:t>
            </w:r>
          </w:p>
        </w:tc>
        <w:tc>
          <w:tcPr/>
          <w:p>
            <w:pPr>
              <w:pStyle w:val="Compact"/>
              <w:jc w:val="left"/>
            </w:pPr>
            <w:r>
              <w:t xml:space="preserve">8 weeks</w:t>
            </w:r>
          </w:p>
        </w:tc>
        <w:tc>
          <w:tcPr/>
          <w:p>
            <w:pPr>
              <w:pStyle w:val="Compact"/>
              <w:jc w:val="left"/>
            </w:pPr>
            <w:r>
              <w:t xml:space="preserve">115,000.00</w:t>
            </w:r>
          </w:p>
        </w:tc>
      </w:tr>
      <w:tr>
        <w:tc>
          <w:tcPr/>
          <w:p>
            <w:pPr>
              <w:pStyle w:val="Compact"/>
              <w:jc w:val="left"/>
            </w:pPr>
            <w:r>
              <w:t xml:space="preserve">5</w:t>
            </w:r>
          </w:p>
        </w:tc>
        <w:tc>
          <w:tcPr/>
          <w:p>
            <w:pPr>
              <w:pStyle w:val="Compact"/>
              <w:jc w:val="left"/>
            </w:pPr>
            <w:r>
              <w:t xml:space="preserve">Authority Submissions &amp; Approvals</w:t>
            </w:r>
          </w:p>
        </w:tc>
        <w:tc>
          <w:tcPr/>
          <w:p>
            <w:pPr>
              <w:pStyle w:val="Compact"/>
              <w:jc w:val="left"/>
            </w:pPr>
            <w:r>
              <w:t xml:space="preserve">DMT/Abu Dhabi Municipality submissions, NOC coordination, revision management</w:t>
            </w:r>
          </w:p>
        </w:tc>
        <w:tc>
          <w:tcPr/>
          <w:p>
            <w:pPr>
              <w:pStyle w:val="Compact"/>
              <w:jc w:val="left"/>
            </w:pPr>
            <w:r>
              <w:t xml:space="preserve">6 weeks</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Tender Support &amp; Contractor Selection</w:t>
            </w:r>
          </w:p>
        </w:tc>
        <w:tc>
          <w:tcPr/>
          <w:p>
            <w:pPr>
              <w:pStyle w:val="Compact"/>
              <w:jc w:val="left"/>
            </w:pPr>
            <w:r>
              <w:t xml:space="preserve">Tender document preparation, bid evaluation, contract administration support</w:t>
            </w:r>
          </w:p>
        </w:tc>
        <w:tc>
          <w:tcPr/>
          <w:p>
            <w:pPr>
              <w:pStyle w:val="Compact"/>
              <w:jc w:val="left"/>
            </w:pPr>
            <w:r>
              <w:t xml:space="preserve">4 weeks</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Construction Phase Supervision</w:t>
            </w:r>
          </w:p>
        </w:tc>
        <w:tc>
          <w:tcPr/>
          <w:p>
            <w:pPr>
              <w:pStyle w:val="Compact"/>
              <w:jc w:val="left"/>
            </w:pPr>
            <w:r>
              <w:t xml:space="preserve">Site inspections (bi-weekly), design queries, variation management, progress reports</w:t>
            </w:r>
          </w:p>
        </w:tc>
        <w:tc>
          <w:tcPr/>
          <w:p>
            <w:pPr>
              <w:pStyle w:val="Compact"/>
              <w:jc w:val="left"/>
            </w:pPr>
            <w:r>
              <w:t xml:space="preserve">12 months</w:t>
            </w:r>
          </w:p>
        </w:tc>
        <w:tc>
          <w:tcPr/>
          <w:p>
            <w:pPr>
              <w:pStyle w:val="Compact"/>
              <w:jc w:val="left"/>
            </w:pPr>
            <w:r>
              <w:t xml:space="preserve">145,000.00</w:t>
            </w:r>
          </w:p>
        </w:tc>
      </w:tr>
      <w:tr>
        <w:tc>
          <w:tcPr/>
          <w:p>
            <w:pPr>
              <w:pStyle w:val="Compact"/>
              <w:jc w:val="left"/>
            </w:pPr>
            <w:r>
              <w:t xml:space="preserve">8</w:t>
            </w:r>
          </w:p>
        </w:tc>
        <w:tc>
          <w:tcPr/>
          <w:p>
            <w:pPr>
              <w:pStyle w:val="Compact"/>
              <w:jc w:val="left"/>
            </w:pPr>
            <w:r>
              <w:t xml:space="preserve">As-Built Documentation &amp; Handover</w:t>
            </w:r>
          </w:p>
        </w:tc>
        <w:tc>
          <w:tcPr/>
          <w:p>
            <w:pPr>
              <w:pStyle w:val="Compact"/>
              <w:jc w:val="left"/>
            </w:pPr>
            <w:r>
              <w:t xml:space="preserve">As-built drawings, O&amp;M manuals coordination, final compliance certificate</w:t>
            </w:r>
          </w:p>
        </w:tc>
        <w:tc>
          <w:tcPr/>
          <w:p>
            <w:pPr>
              <w:pStyle w:val="Compact"/>
              <w:jc w:val="left"/>
            </w:pPr>
            <w:r>
              <w:t xml:space="preserve">4 weeks</w:t>
            </w:r>
          </w:p>
        </w:tc>
        <w:tc>
          <w:tcPr/>
          <w:p>
            <w:pPr>
              <w:pStyle w:val="Compact"/>
              <w:jc w:val="left"/>
            </w:pPr>
            <w:r>
              <w:t xml:space="preserve">25,000.00</w:t>
            </w:r>
          </w:p>
        </w:tc>
      </w:tr>
      <w:tr>
        <w:tc>
          <w:tcPr>
            <w:gridSpan w:val="4"/>
          </w:tcPr>
          <w:p>
            <w:pPr>
              <w:pStyle w:val="Compact"/>
              <w:jc w:val="right"/>
            </w:pPr>
            <w:r>
              <w:t xml:space="preserve">Subtotal (AED)</w:t>
            </w:r>
          </w:p>
        </w:tc>
        <w:tc>
          <w:tcPr/>
          <w:p>
            <w:pPr>
              <w:pStyle w:val="Compact"/>
              <w:jc w:val="left"/>
            </w:pPr>
            <w:r>
              <w:t xml:space="preserve">550,000.00</w:t>
            </w:r>
          </w:p>
        </w:tc>
      </w:tr>
      <w:tr>
        <w:tc>
          <w:tcPr>
            <w:gridSpan w:val="4"/>
          </w:tcPr>
          <w:p>
            <w:pPr>
              <w:pStyle w:val="Compact"/>
              <w:jc w:val="right"/>
            </w:pPr>
            <w:r>
              <w:t xml:space="preserve">VAT @ 5% (United Arab Emirates)</w:t>
            </w:r>
          </w:p>
        </w:tc>
        <w:tc>
          <w:tcPr/>
          <w:p>
            <w:pPr>
              <w:pStyle w:val="Compact"/>
              <w:jc w:val="left"/>
            </w:pPr>
            <w:r>
              <w:t xml:space="preserve">27,500.00</w:t>
            </w:r>
          </w:p>
        </w:tc>
      </w:tr>
      <w:tr>
        <w:tc>
          <w:tcPr>
            <w:gridSpan w:val="4"/>
          </w:tcPr>
          <w:p>
            <w:pPr>
              <w:pStyle w:val="Compact"/>
              <w:jc w:val="right"/>
            </w:pPr>
            <w:r>
              <w:t xml:space="preserve">TOTAL AMOUNT DUE (AED)</w:t>
            </w:r>
          </w:p>
        </w:tc>
        <w:tc>
          <w:tcPr/>
          <w:p>
            <w:pPr>
              <w:pStyle w:val="Compact"/>
              <w:jc w:val="left"/>
            </w:pPr>
            <w:r>
              <w:t xml:space="preserve">577,500.00</w:t>
            </w:r>
          </w:p>
        </w:tc>
      </w:tr>
    </w:tbl>
    <w:bookmarkEnd w:id="22"/>
    <w:bookmarkStart w:id="23" w:name="payment-schedule"/>
    <w:p>
      <w:pPr>
        <w:pStyle w:val="Heading2"/>
      </w:pPr>
      <w:r>
        <w:t xml:space="preserve">3. Payment Schedule</w:t>
      </w:r>
    </w:p>
    <w:p>
      <w:pPr>
        <w:pStyle w:val="FirstParagraph"/>
      </w:pPr>
      <w:r>
        <w:t xml:space="preserve">The total Quotation Estimate amount of AED 577,500.00 shall be disbursed according to the following milestone-based payment schedule, aligned with the Architect service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(AED)</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115,500.00</w:t>
            </w:r>
          </w:p>
        </w:tc>
        <w:tc>
          <w:tcPr/>
          <w:p>
            <w:pPr>
              <w:pStyle w:val="Compact"/>
              <w:jc w:val="left"/>
            </w:pPr>
            <w:r>
              <w:t xml:space="preserve">Upon signing of this Quotation Estimate</w:t>
            </w:r>
          </w:p>
        </w:tc>
      </w:tr>
      <w:tr>
        <w:tc>
          <w:tcPr/>
          <w:p>
            <w:pPr>
              <w:pStyle w:val="Compact"/>
              <w:jc w:val="left"/>
            </w:pPr>
            <w:r>
              <w:t xml:space="preserve">Conceptual Design Approval</w:t>
            </w:r>
          </w:p>
        </w:tc>
        <w:tc>
          <w:tcPr/>
          <w:p>
            <w:pPr>
              <w:pStyle w:val="Compact"/>
              <w:jc w:val="left"/>
            </w:pPr>
            <w:r>
              <w:t xml:space="preserve">15%</w:t>
            </w:r>
          </w:p>
        </w:tc>
        <w:tc>
          <w:tcPr/>
          <w:p>
            <w:pPr>
              <w:pStyle w:val="Compact"/>
              <w:jc w:val="left"/>
            </w:pPr>
            <w:r>
              <w:t xml:space="preserve">86,625.00</w:t>
            </w:r>
          </w:p>
        </w:tc>
        <w:tc>
          <w:tcPr/>
          <w:p>
            <w:pPr>
              <w:pStyle w:val="Compact"/>
              <w:jc w:val="left"/>
            </w:pPr>
            <w:r>
              <w:t xml:space="preserve">Client sign-off on concept</w:t>
            </w:r>
          </w:p>
        </w:tc>
      </w:tr>
      <w:tr>
        <w:tc>
          <w:tcPr/>
          <w:p>
            <w:pPr>
              <w:pStyle w:val="Compact"/>
              <w:jc w:val="left"/>
            </w:pPr>
            <w:r>
              <w:t xml:space="preserve">Schematic Design Approval</w:t>
            </w:r>
          </w:p>
        </w:tc>
        <w:tc>
          <w:tcPr/>
          <w:p>
            <w:pPr>
              <w:pStyle w:val="Compact"/>
              <w:jc w:val="left"/>
            </w:pPr>
            <w:r>
              <w:t xml:space="preserve">15%</w:t>
            </w:r>
          </w:p>
        </w:tc>
        <w:tc>
          <w:tcPr/>
          <w:p>
            <w:pPr>
              <w:pStyle w:val="Compact"/>
              <w:jc w:val="left"/>
            </w:pPr>
            <w:r>
              <w:t xml:space="preserve">86,625.00</w:t>
            </w:r>
          </w:p>
        </w:tc>
        <w:tc>
          <w:tcPr/>
          <w:p>
            <w:pPr>
              <w:pStyle w:val="Compact"/>
              <w:jc w:val="left"/>
            </w:pPr>
            <w:r>
              <w:t xml:space="preserve">Client sign-off on schematic</w:t>
            </w:r>
          </w:p>
        </w:tc>
      </w:tr>
      <w:tr>
        <w:tc>
          <w:tcPr/>
          <w:p>
            <w:pPr>
              <w:pStyle w:val="Compact"/>
              <w:jc w:val="left"/>
            </w:pPr>
            <w:r>
              <w:t xml:space="preserve">Construction Docs &amp; Approvals</w:t>
            </w:r>
          </w:p>
        </w:tc>
        <w:tc>
          <w:tcPr/>
          <w:p>
            <w:pPr>
              <w:pStyle w:val="Compact"/>
              <w:jc w:val="left"/>
            </w:pPr>
            <w:r>
              <w:t xml:space="preserve">25%</w:t>
            </w:r>
          </w:p>
        </w:tc>
        <w:tc>
          <w:tcPr/>
          <w:p>
            <w:pPr>
              <w:pStyle w:val="Compact"/>
              <w:jc w:val="left"/>
            </w:pPr>
            <w:r>
              <w:t xml:space="preserve">144,375.00</w:t>
            </w:r>
          </w:p>
        </w:tc>
        <w:tc>
          <w:tcPr/>
          <w:p>
            <w:pPr>
              <w:pStyle w:val="Compact"/>
              <w:jc w:val="left"/>
            </w:pPr>
            <w:r>
              <w:t xml:space="preserve">DMT/Abu Dhabi Municipality approval</w:t>
            </w:r>
          </w:p>
        </w:tc>
      </w:tr>
      <w:tr>
        <w:tc>
          <w:tcPr/>
          <w:p>
            <w:pPr>
              <w:pStyle w:val="Compact"/>
              <w:jc w:val="left"/>
            </w:pPr>
            <w:r>
              <w:t xml:space="preserve">Construction Supervision</w:t>
            </w:r>
          </w:p>
        </w:tc>
        <w:tc>
          <w:tcPr/>
          <w:p>
            <w:pPr>
              <w:pStyle w:val="Compact"/>
              <w:jc w:val="left"/>
            </w:pPr>
            <w:r>
              <w:t xml:space="preserve">15%</w:t>
            </w:r>
          </w:p>
        </w:tc>
        <w:tc>
          <w:tcPr/>
          <w:p>
            <w:pPr>
              <w:pStyle w:val="Compact"/>
              <w:jc w:val="left"/>
            </w:pPr>
            <w:r>
              <w:t xml:space="preserve">86,625.00</w:t>
            </w:r>
          </w:p>
        </w:tc>
        <w:tc>
          <w:tcPr/>
          <w:p>
            <w:pPr>
              <w:pStyle w:val="Compact"/>
              <w:jc w:val="left"/>
            </w:pPr>
            <w:r>
              <w:t xml:space="preserve">Monthly pro-rata during build</w:t>
            </w:r>
          </w:p>
        </w:tc>
      </w:tr>
      <w:tr>
        <w:tc>
          <w:tcPr/>
          <w:p>
            <w:pPr>
              <w:pStyle w:val="Compact"/>
              <w:jc w:val="left"/>
            </w:pPr>
            <w:r>
              <w:t xml:space="preserve">Project Handover</w:t>
            </w:r>
          </w:p>
        </w:tc>
        <w:tc>
          <w:tcPr/>
          <w:p>
            <w:pPr>
              <w:pStyle w:val="Compact"/>
              <w:jc w:val="left"/>
            </w:pPr>
            <w:r>
              <w:t xml:space="preserve">10%</w:t>
            </w:r>
          </w:p>
        </w:tc>
        <w:tc>
          <w:tcPr/>
          <w:p>
            <w:pPr>
              <w:pStyle w:val="Compact"/>
              <w:jc w:val="left"/>
            </w:pPr>
            <w:r>
              <w:t xml:space="preserve">57,750.00</w:t>
            </w:r>
          </w:p>
        </w:tc>
        <w:tc>
          <w:tcPr/>
          <w:p>
            <w:pPr>
              <w:pStyle w:val="Compact"/>
              <w:jc w:val="left"/>
            </w:pPr>
            <w:r>
              <w:t xml:space="preserve">Final as-built submission</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Beyond this period, the Architect reserves the right to revise fees due to market fluctuations in the United Arab Emirates construction sector.</w:t>
      </w:r>
    </w:p>
    <w:p>
      <w:pPr>
        <w:numPr>
          <w:ilvl w:val="0"/>
          <w:numId w:val="1001"/>
        </w:numPr>
        <w:pStyle w:val="Compact"/>
      </w:pPr>
      <w:r>
        <w:t xml:space="preserve">All fees stated in this Quotation Estimate are exclusive of any third-party costs, including but not limited to Abu Dhabi Municipality submission fees, DMT permit charges, geotechnical survey costs, and environmental impact assessment fees, which shall be borne directly by the client.</w:t>
      </w:r>
    </w:p>
    <w:p>
      <w:pPr>
        <w:numPr>
          <w:ilvl w:val="0"/>
          <w:numId w:val="1001"/>
        </w:numPr>
        <w:pStyle w:val="Compact"/>
      </w:pPr>
      <w:r>
        <w:t xml:space="preserve">The Architect shall not be liable for delays caused by authority review processes, force majeure events, or client-initiated design changes exceeding two (2) revision cycles per phase.</w:t>
      </w:r>
    </w:p>
    <w:p>
      <w:pPr>
        <w:numPr>
          <w:ilvl w:val="0"/>
          <w:numId w:val="1001"/>
        </w:numPr>
        <w:pStyle w:val="Compact"/>
      </w:pPr>
      <w:r>
        <w:t xml:space="preserve">Any additional design revisions or scope changes beyond the agreed deliverables shall be subject to a separate supplementary Quotation Estimate issued by the Architect prior to commencement of additional work.</w:t>
      </w:r>
    </w:p>
    <w:p>
      <w:pPr>
        <w:numPr>
          <w:ilvl w:val="0"/>
          <w:numId w:val="1001"/>
        </w:numPr>
        <w:pStyle w:val="Compact"/>
      </w:pPr>
      <w:r>
        <w:t xml:space="preserve">All intellectual property rights in the design documents, drawings, and 3D models produced by the Architect remain the property of Al Noor Architectural Design Bureau LLC until full payment of the Quotation Estimate amount is received.</w:t>
      </w:r>
    </w:p>
    <w:p>
      <w:pPr>
        <w:numPr>
          <w:ilvl w:val="0"/>
          <w:numId w:val="1001"/>
        </w:numPr>
        <w:pStyle w:val="Compact"/>
      </w:pPr>
      <w:r>
        <w:t xml:space="preserve">Payment terms are Net 14 days from the date of invoice issuance. Late payments shall attract a penalty of 1.5% per month as per United Arab Emirates commercial law.</w:t>
      </w:r>
    </w:p>
    <w:p>
      <w:pPr>
        <w:numPr>
          <w:ilvl w:val="0"/>
          <w:numId w:val="1001"/>
        </w:numPr>
        <w:pStyle w:val="Compact"/>
      </w:pPr>
      <w:r>
        <w:t xml:space="preserve">This Quotation Estimate is governed by the laws of the United Arab Emirates, and any disputes shall be resolved through arbitration in Abu Dhabi in accordance with the UAE Arbitration Law.</w:t>
      </w:r>
    </w:p>
    <w:p>
      <w:pPr>
        <w:numPr>
          <w:ilvl w:val="0"/>
          <w:numId w:val="1001"/>
        </w:numPr>
        <w:pStyle w:val="Compact"/>
      </w:pPr>
      <w:r>
        <w:t xml:space="preserve">The Architect shall maintain professional indemnity insurance with a minimum coverage of AED 5,000,000 throughout the duration of the project.</w:t>
      </w:r>
    </w:p>
    <w:p>
      <w:pPr>
        <w:numPr>
          <w:ilvl w:val="0"/>
          <w:numId w:val="1001"/>
        </w:numPr>
        <w:pStyle w:val="Compact"/>
      </w:pPr>
      <w:r>
        <w:t xml:space="preserve">All communications, submissions, and documentation shall be conducted in English, with Arabic translations provided where required by Abu Dhabi authorities.</w:t>
      </w:r>
    </w:p>
    <w:p>
      <w:pPr>
        <w:pStyle w:val="FirstParagraph"/>
      </w:pPr>
      <w:r>
        <w:rPr>
          <w:bCs/>
          <w:b/>
        </w:rPr>
        <w:t xml:space="preserve">Important Note:</w:t>
      </w:r>
      <w:r>
        <w:t xml:space="preserve"> </w:t>
      </w:r>
      <w:r>
        <w:t xml:space="preserve">This Quotation Estimate assumes a standard residential villa typology. Should the project scope expand to include commercial elements, underground parking exceeding one level, or special heritage compliance requirements under Abu Dhabi's urban planning directives, the Architect will issue a revised Quotation Estimate reflecting the additional professional effort required.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fee structure outlined in this Quotation Estimate for Architect services in Abu Dhabi, United Arab Emirates.</w:t>
      </w:r>
    </w:p>
    <w:p>
      <w:pPr>
        <w:pStyle w:val="BodyText"/>
      </w:pPr>
      <w:r>
        <w:rPr>
          <w:bCs/>
          <w:b/>
        </w:rPr>
        <w:t xml:space="preserve">For: Al Noor Architectural Design Bureau LLC</w:t>
      </w:r>
      <w:r>
        <w:br/>
      </w:r>
      <w:r>
        <w:t xml:space="preserve">Name: Eng. Sarah Al Falasi</w:t>
      </w:r>
      <w:r>
        <w:br/>
      </w:r>
      <w:r>
        <w:t xml:space="preserve">Title: Principal Architect / Managing Director</w:t>
      </w:r>
      <w:r>
        <w:br/>
      </w:r>
      <w:r>
        <w:t xml:space="preserve">Date: _________________________</w:t>
      </w:r>
    </w:p>
    <w:p>
      <w:pPr>
        <w:pStyle w:val="BodyText"/>
      </w:pPr>
      <w:r>
        <w:rPr>
          <w:bCs/>
          <w:b/>
        </w:rPr>
        <w:t xml:space="preserve">For: Al Mansoori Real Estate Group</w:t>
      </w:r>
      <w:r>
        <w:br/>
      </w:r>
      <w:r>
        <w:t xml:space="preserve">Name: Mr. Khalid Al Mansoori</w:t>
      </w:r>
      <w:r>
        <w:br/>
      </w:r>
      <w:r>
        <w:t xml:space="preserve">Title: Director of Projects</w:t>
      </w:r>
      <w:r>
        <w:br/>
      </w:r>
      <w:r>
        <w:t xml:space="preserve">Date: _________________________</w:t>
      </w:r>
    </w:p>
    <w:p>
      <w:pPr>
        <w:pStyle w:val="BodyText"/>
      </w:pPr>
      <w:r>
        <w:t xml:space="preserve">Al Noor Architectural Design Bureau LLC — Licensed Architect Firm, Abu Dhabi, United Arab Emirates</w:t>
      </w:r>
    </w:p>
    <w:p>
      <w:pPr>
        <w:pStyle w:val="BodyText"/>
      </w:pPr>
      <w:r>
        <w:t xml:space="preserve">Quotation Estimate No. QTE-2025-0347 | This document is confidential and intended solely for the named recipient.</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United Arab Emirates Abu Dhabi</dc:title>
  <dc:creator/>
  <dc:language>en</dc:language>
  <cp:keywords/>
  <dcterms:created xsi:type="dcterms:W3CDTF">2026-10-10T02:37:22Z</dcterms:created>
  <dcterms:modified xsi:type="dcterms:W3CDTF">2026-10-10T02:37:22Z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