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quotation-estimate"/>
    <w:p>
      <w:pPr>
        <w:pStyle w:val="Heading1"/>
      </w:pPr>
      <w:r>
        <w:t xml:space="preserve">QUOTATION ESTIMATE</w:t>
      </w:r>
    </w:p>
    <w:p>
      <w:pPr>
        <w:pStyle w:val="FirstParagraph"/>
      </w:pPr>
      <w:r>
        <w:t xml:space="preserve">Professional Architect Services — United States Chicago</w:t>
      </w:r>
    </w:p>
    <w:bookmarkEnd w:id="20"/>
    <w:bookmarkStart w:id="21" w:name="prepared-by-architect"/>
    <w:p>
      <w:pPr>
        <w:pStyle w:val="Heading3"/>
      </w:pPr>
      <w:r>
        <w:t xml:space="preserve">Prepared By (Architect)</w:t>
      </w:r>
    </w:p>
    <w:p>
      <w:pPr>
        <w:pStyle w:val="FirstParagraph"/>
      </w:pPr>
      <w:r>
        <w:rPr>
          <w:bCs/>
          <w:b/>
        </w:rPr>
        <w:t xml:space="preserve">Lakeview Architectural Studio, LLC</w:t>
      </w:r>
    </w:p>
    <w:p>
      <w:pPr>
        <w:pStyle w:val="BodyText"/>
      </w:pPr>
      <w:r>
        <w:t xml:space="preserve">1200 N. Michigan Avenue, Suite 2400</w:t>
      </w:r>
    </w:p>
    <w:p>
      <w:pPr>
        <w:pStyle w:val="BodyText"/>
      </w:pPr>
      <w:r>
        <w:t xml:space="preserve">Chicago, Illinois 60610</w:t>
      </w:r>
    </w:p>
    <w:p>
      <w:pPr>
        <w:pStyle w:val="BodyText"/>
      </w:pPr>
      <w:r>
        <w:t xml:space="preserve">United States</w:t>
      </w:r>
    </w:p>
    <w:p>
      <w:pPr>
        <w:pStyle w:val="BodyText"/>
      </w:pPr>
      <w:r>
        <w:t xml:space="preserve">Phone: (312) 555-0187</w:t>
      </w:r>
    </w:p>
    <w:p>
      <w:pPr>
        <w:pStyle w:val="BodyText"/>
      </w:pPr>
      <w:r>
        <w:t xml:space="preserve">Email: estimates@lakeviewarch.com</w:t>
      </w:r>
    </w:p>
    <w:p>
      <w:pPr>
        <w:pStyle w:val="BodyText"/>
      </w:pPr>
      <w:r>
        <w:t xml:space="preserve">IL License No. 180.001234</w:t>
      </w:r>
    </w:p>
    <w:bookmarkEnd w:id="21"/>
    <w:bookmarkStart w:id="22" w:name="prepared-for-client"/>
    <w:p>
      <w:pPr>
        <w:pStyle w:val="Heading3"/>
      </w:pPr>
      <w:r>
        <w:t xml:space="preserve">Prepared For (Client)</w:t>
      </w:r>
    </w:p>
    <w:p>
      <w:pPr>
        <w:pStyle w:val="FirstParagraph"/>
      </w:pPr>
      <w:r>
        <w:rPr>
          <w:bCs/>
          <w:b/>
        </w:rPr>
        <w:t xml:space="preserve">Mr. Jonathan R. Whitfield</w:t>
      </w:r>
    </w:p>
    <w:p>
      <w:pPr>
        <w:pStyle w:val="BodyText"/>
      </w:pPr>
      <w:r>
        <w:t xml:space="preserve">4821 W. Fullerton Avenue</w:t>
      </w:r>
    </w:p>
    <w:p>
      <w:pPr>
        <w:pStyle w:val="BodyText"/>
      </w:pPr>
      <w:r>
        <w:t xml:space="preserve">Chicago, Illinois 60647</w:t>
      </w:r>
    </w:p>
    <w:p>
      <w:pPr>
        <w:pStyle w:val="BodyText"/>
      </w:pPr>
      <w:r>
        <w:t xml:space="preserve">United States</w:t>
      </w:r>
    </w:p>
    <w:p>
      <w:pPr>
        <w:pStyle w:val="BodyText"/>
      </w:pPr>
      <w:r>
        <w:t xml:space="preserve">Phone: (773) 555-0421</w:t>
      </w:r>
    </w:p>
    <w:p>
      <w:pPr>
        <w:pStyle w:val="BodyText"/>
      </w:pPr>
      <w:r>
        <w:t xml:space="preserve">Email: j.whitfield@email.com</w:t>
      </w:r>
    </w:p>
    <w:bookmarkEnd w:id="22"/>
    <w:p>
      <w:pPr>
        <w:pStyle w:val="BodyText"/>
      </w:pPr>
      <w:r>
        <w:rPr>
          <w:bCs/>
          <w:b/>
        </w:rPr>
        <w:t xml:space="preserve">Quotation Estimate No.:</w:t>
      </w:r>
      <w:r>
        <w:t xml:space="preserve"> </w:t>
      </w:r>
      <w:r>
        <w:t xml:space="preserve">QTE-2025-00482</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 (30 days)</w:t>
      </w:r>
    </w:p>
    <w:p>
      <w:pPr>
        <w:pStyle w:val="BodyText"/>
      </w:pPr>
      <w:r>
        <w:rPr>
          <w:bCs/>
          <w:b/>
        </w:rPr>
        <w:t xml:space="preserve">Project Location:</w:t>
      </w:r>
      <w:r>
        <w:t xml:space="preserve"> </w:t>
      </w:r>
      <w:r>
        <w:t xml:space="preserve">4821 W. Fullerton Avenue, Chicago, Illinois 60647, United States</w:t>
      </w:r>
    </w:p>
    <w:p>
      <w:pPr>
        <w:pStyle w:val="BodyText"/>
      </w:pPr>
      <w:r>
        <w:rPr>
          <w:bCs/>
          <w:b/>
        </w:rPr>
        <w:t xml:space="preserve">Project Type:</w:t>
      </w:r>
      <w:r>
        <w:t xml:space="preserve"> </w:t>
      </w:r>
      <w:r>
        <w:t xml:space="preserve">Residential Renovation &amp; Architectural Expansion</w:t>
      </w:r>
    </w:p>
    <w:bookmarkStart w:id="23"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issued by Lakeview Architectural Studio, LLC, a licensed</w:t>
      </w:r>
      <w:r>
        <w:t xml:space="preserve"> </w:t>
      </w:r>
      <w:r>
        <w:t xml:space="preserve">Architect</w:t>
      </w:r>
      <w:r>
        <w:t xml:space="preserve"> </w:t>
      </w:r>
      <w:r>
        <w:t xml:space="preserve">firm operating in</w:t>
      </w:r>
      <w:r>
        <w:t xml:space="preserve"> </w:t>
      </w:r>
      <w:r>
        <w:t xml:space="preserve">United States Chicago</w:t>
      </w:r>
      <w:r>
        <w:t xml:space="preserve">, in response to the client's request for professional architectural design and consulting services. This document outlines the full scope of work, itemized professional fees, and applicable terms governing the engagement. All services described herein will be performed in compliance with the Illinois Department of Financial and Professional Regulation (IDFPR) standards and the Chicago Building Code as administered by the City of Chicago Department of Buildings.</w:t>
      </w:r>
    </w:p>
    <w:bookmarkEnd w:id="23"/>
    <w:bookmarkStart w:id="24" w:name="scope-of-architect-services"/>
    <w:p>
      <w:pPr>
        <w:pStyle w:val="Heading2"/>
      </w:pPr>
      <w:r>
        <w:t xml:space="preserve">2. Scope of Architect Services</w:t>
      </w:r>
    </w:p>
    <w:p>
      <w:pPr>
        <w:pStyle w:val="FirstParagraph"/>
      </w:pPr>
      <w:r>
        <w:t xml:space="preserve">The</w:t>
      </w:r>
      <w:r>
        <w:t xml:space="preserve"> </w:t>
      </w:r>
      <w:r>
        <w:t xml:space="preserve">Architect</w:t>
      </w:r>
      <w:r>
        <w:t xml:space="preserve"> </w:t>
      </w:r>
      <w:r>
        <w:t xml:space="preserve">firm will provide the following comprehensive services for the residential renovation and expansion project located in the Lincoln Park neighborhood of</w:t>
      </w:r>
      <w:r>
        <w:t xml:space="preserve"> </w:t>
      </w:r>
      <w:r>
        <w:t xml:space="preserve">United States Chicago</w:t>
      </w:r>
      <w:r>
        <w:t xml:space="preserve">:</w:t>
      </w:r>
    </w:p>
    <w:p>
      <w:pPr>
        <w:numPr>
          <w:ilvl w:val="0"/>
          <w:numId w:val="1001"/>
        </w:numPr>
        <w:pStyle w:val="Compact"/>
      </w:pPr>
      <w:r>
        <w:rPr>
          <w:bCs/>
          <w:b/>
        </w:rPr>
        <w:t xml:space="preserve">Pre-Design Consultation:</w:t>
      </w:r>
      <w:r>
        <w:t xml:space="preserve"> </w:t>
      </w:r>
      <w:r>
        <w:t xml:space="preserve">Site analysis, feasibility study, zoning verification with the City of Chicago, and initial concept development.</w:t>
      </w:r>
    </w:p>
    <w:p>
      <w:pPr>
        <w:numPr>
          <w:ilvl w:val="0"/>
          <w:numId w:val="1001"/>
        </w:numPr>
        <w:pStyle w:val="Compact"/>
      </w:pPr>
      <w:r>
        <w:rPr>
          <w:bCs/>
          <w:b/>
        </w:rPr>
        <w:t xml:space="preserve">Schematic Design:</w:t>
      </w:r>
      <w:r>
        <w:t xml:space="preserve"> </w:t>
      </w:r>
      <w:r>
        <w:t xml:space="preserve">Development of conceptual floor plans, massing studies, and material palettes tailored to the architectural character of the Chicago residential district.</w:t>
      </w:r>
    </w:p>
    <w:p>
      <w:pPr>
        <w:numPr>
          <w:ilvl w:val="0"/>
          <w:numId w:val="1001"/>
        </w:numPr>
        <w:pStyle w:val="Compact"/>
      </w:pPr>
      <w:r>
        <w:rPr>
          <w:bCs/>
          <w:b/>
        </w:rPr>
        <w:t xml:space="preserve">Design Development:</w:t>
      </w:r>
      <w:r>
        <w:t xml:space="preserve"> </w:t>
      </w:r>
      <w:r>
        <w:t xml:space="preserve">Detailed architectural drawings, structural coordination, MEP (Mechanical, Electrical, Plumbing) integration, and interior design specifications.</w:t>
      </w:r>
    </w:p>
    <w:p>
      <w:pPr>
        <w:numPr>
          <w:ilvl w:val="0"/>
          <w:numId w:val="1001"/>
        </w:numPr>
        <w:pStyle w:val="Compact"/>
      </w:pPr>
      <w:r>
        <w:rPr>
          <w:bCs/>
          <w:b/>
        </w:rPr>
        <w:t xml:space="preserve">Construction Documents:</w:t>
      </w:r>
      <w:r>
        <w:t xml:space="preserve"> </w:t>
      </w:r>
      <w:r>
        <w:t xml:space="preserve">Full set of permit-ready drawings and specifications compliant with the International Building Code (IBC) and Chicago-specific amendments.</w:t>
      </w:r>
    </w:p>
    <w:p>
      <w:pPr>
        <w:numPr>
          <w:ilvl w:val="0"/>
          <w:numId w:val="1001"/>
        </w:numPr>
        <w:pStyle w:val="Compact"/>
      </w:pPr>
      <w:r>
        <w:rPr>
          <w:bCs/>
          <w:b/>
        </w:rPr>
        <w:t xml:space="preserve">Permitting &amp; Code Compliance:</w:t>
      </w:r>
      <w:r>
        <w:t xml:space="preserve"> </w:t>
      </w:r>
      <w:r>
        <w:t xml:space="preserve">Submission of all required documents to the Chicago Department of Buildings, coordination with the Chicago Board of Examiners, and management of the review and approval process.</w:t>
      </w:r>
    </w:p>
    <w:p>
      <w:pPr>
        <w:numPr>
          <w:ilvl w:val="0"/>
          <w:numId w:val="1001"/>
        </w:numPr>
        <w:pStyle w:val="Compact"/>
      </w:pPr>
      <w:r>
        <w:rPr>
          <w:bCs/>
          <w:b/>
        </w:rPr>
        <w:t xml:space="preserve">Bidding &amp; Negotiation Support:</w:t>
      </w:r>
      <w:r>
        <w:t xml:space="preserve"> </w:t>
      </w:r>
      <w:r>
        <w:t xml:space="preserve">Preparation of bid documents, assistance in contractor selection, and negotiation of construction contracts.</w:t>
      </w:r>
    </w:p>
    <w:p>
      <w:pPr>
        <w:numPr>
          <w:ilvl w:val="0"/>
          <w:numId w:val="1001"/>
        </w:numPr>
        <w:pStyle w:val="Compact"/>
      </w:pPr>
      <w:r>
        <w:rPr>
          <w:bCs/>
          <w:b/>
        </w:rPr>
        <w:t xml:space="preserve">Construction Administration:</w:t>
      </w:r>
      <w:r>
        <w:t xml:space="preserve"> </w:t>
      </w:r>
      <w:r>
        <w:t xml:space="preserve">Regular site visits (minimum bi-weekly), review of shop drawings, response to Requests for Information (RFIs), and issuance of Certificates of Payment.</w:t>
      </w:r>
    </w:p>
    <w:p>
      <w:pPr>
        <w:numPr>
          <w:ilvl w:val="0"/>
          <w:numId w:val="1001"/>
        </w:numPr>
        <w:pStyle w:val="Compact"/>
      </w:pPr>
      <w:r>
        <w:rPr>
          <w:bCs/>
          <w:b/>
        </w:rPr>
        <w:t xml:space="preserve">Substantial &amp; Final Completion:</w:t>
      </w:r>
      <w:r>
        <w:t xml:space="preserve"> </w:t>
      </w:r>
      <w:r>
        <w:t xml:space="preserve">Punch list preparation, final inspection coordination, and as-built documentation.</w:t>
      </w:r>
    </w:p>
    <w:bookmarkEnd w:id="24"/>
    <w:bookmarkStart w:id="25" w:name="itemized-quotation-estimate"/>
    <w:p>
      <w:pPr>
        <w:pStyle w:val="Heading2"/>
      </w:pPr>
      <w:r>
        <w:t xml:space="preserve">3. Itemized Quotation Estimate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 Deliverable</w:t>
            </w:r>
          </w:p>
        </w:tc>
        <w:tc>
          <w:tcPr/>
          <w:p>
            <w:pPr>
              <w:pStyle w:val="Compact"/>
              <w:jc w:val="left"/>
            </w:pPr>
            <w:r>
              <w:t xml:space="preserve">Phase</w:t>
            </w:r>
          </w:p>
        </w:tc>
        <w:tc>
          <w:tcPr/>
          <w:p>
            <w:pPr>
              <w:pStyle w:val="Compact"/>
              <w:jc w:val="left"/>
            </w:pPr>
            <w:r>
              <w:t xml:space="preserve">Estimated 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Pre-Design Consultation &amp; Site Analysis</w:t>
            </w:r>
          </w:p>
        </w:tc>
        <w:tc>
          <w:tcPr/>
          <w:p>
            <w:pPr>
              <w:pStyle w:val="Compact"/>
              <w:jc w:val="left"/>
            </w:pPr>
            <w:r>
              <w:t xml:space="preserve">Phase I</w:t>
            </w:r>
          </w:p>
        </w:tc>
        <w:tc>
          <w:tcPr/>
          <w:p>
            <w:pPr>
              <w:pStyle w:val="Compact"/>
              <w:jc w:val="left"/>
            </w:pPr>
            <w:r>
              <w:t xml:space="preserve">40</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2</w:t>
            </w:r>
          </w:p>
        </w:tc>
        <w:tc>
          <w:tcPr/>
          <w:p>
            <w:pPr>
              <w:pStyle w:val="Compact"/>
              <w:jc w:val="left"/>
            </w:pPr>
            <w:r>
              <w:t xml:space="preserve">Schematic Design &amp; Concept Development</w:t>
            </w:r>
          </w:p>
        </w:tc>
        <w:tc>
          <w:tcPr/>
          <w:p>
            <w:pPr>
              <w:pStyle w:val="Compact"/>
              <w:jc w:val="left"/>
            </w:pPr>
            <w:r>
              <w:t xml:space="preserve">Phase II</w:t>
            </w:r>
          </w:p>
        </w:tc>
        <w:tc>
          <w:tcPr/>
          <w:p>
            <w:pPr>
              <w:pStyle w:val="Compact"/>
              <w:jc w:val="left"/>
            </w:pPr>
            <w:r>
              <w:t xml:space="preserve">120</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3</w:t>
            </w:r>
          </w:p>
        </w:tc>
        <w:tc>
          <w:tcPr/>
          <w:p>
            <w:pPr>
              <w:pStyle w:val="Compact"/>
              <w:jc w:val="left"/>
            </w:pPr>
            <w:r>
              <w:t xml:space="preserve">Design Development &amp; Coordination</w:t>
            </w:r>
          </w:p>
        </w:tc>
        <w:tc>
          <w:tcPr/>
          <w:p>
            <w:pPr>
              <w:pStyle w:val="Compact"/>
              <w:jc w:val="left"/>
            </w:pPr>
            <w:r>
              <w:t xml:space="preserve">Phase III</w:t>
            </w:r>
          </w:p>
        </w:tc>
        <w:tc>
          <w:tcPr/>
          <w:p>
            <w:pPr>
              <w:pStyle w:val="Compact"/>
              <w:jc w:val="left"/>
            </w:pPr>
            <w:r>
              <w:t xml:space="preserve">160</w:t>
            </w:r>
          </w:p>
        </w:tc>
        <w:tc>
          <w:tcPr/>
          <w:p>
            <w:pPr>
              <w:pStyle w:val="Compact"/>
              <w:jc w:val="left"/>
            </w:pPr>
            <w:r>
              <w:t xml:space="preserve">$185.00</w:t>
            </w:r>
          </w:p>
        </w:tc>
        <w:tc>
          <w:tcPr/>
          <w:p>
            <w:pPr>
              <w:pStyle w:val="Compact"/>
              <w:jc w:val="left"/>
            </w:pPr>
            <w:r>
              <w:t xml:space="preserve">$29,600.00</w:t>
            </w:r>
          </w:p>
        </w:tc>
      </w:tr>
      <w:tr>
        <w:tc>
          <w:tcPr/>
          <w:p>
            <w:pPr>
              <w:pStyle w:val="Compact"/>
              <w:jc w:val="left"/>
            </w:pPr>
            <w:r>
              <w:t xml:space="preserve">4</w:t>
            </w:r>
          </w:p>
        </w:tc>
        <w:tc>
          <w:tcPr/>
          <w:p>
            <w:pPr>
              <w:pStyle w:val="Compact"/>
              <w:jc w:val="left"/>
            </w:pPr>
            <w:r>
              <w:t xml:space="preserve">Construction Document Preparation</w:t>
            </w:r>
          </w:p>
        </w:tc>
        <w:tc>
          <w:tcPr/>
          <w:p>
            <w:pPr>
              <w:pStyle w:val="Compact"/>
              <w:jc w:val="left"/>
            </w:pPr>
            <w:r>
              <w:t xml:space="preserve">Phase IV</w:t>
            </w:r>
          </w:p>
        </w:tc>
        <w:tc>
          <w:tcPr/>
          <w:p>
            <w:pPr>
              <w:pStyle w:val="Compact"/>
              <w:jc w:val="left"/>
            </w:pPr>
            <w:r>
              <w:t xml:space="preserve">220</w:t>
            </w:r>
          </w:p>
        </w:tc>
        <w:tc>
          <w:tcPr/>
          <w:p>
            <w:pPr>
              <w:pStyle w:val="Compact"/>
              <w:jc w:val="left"/>
            </w:pPr>
            <w:r>
              <w:t xml:space="preserve">$185.00</w:t>
            </w:r>
          </w:p>
        </w:tc>
        <w:tc>
          <w:tcPr/>
          <w:p>
            <w:pPr>
              <w:pStyle w:val="Compact"/>
              <w:jc w:val="left"/>
            </w:pPr>
            <w:r>
              <w:t xml:space="preserve">$40,700.00</w:t>
            </w:r>
          </w:p>
        </w:tc>
      </w:tr>
      <w:tr>
        <w:tc>
          <w:tcPr/>
          <w:p>
            <w:pPr>
              <w:pStyle w:val="Compact"/>
              <w:jc w:val="left"/>
            </w:pPr>
            <w:r>
              <w:t xml:space="preserve">5</w:t>
            </w:r>
          </w:p>
        </w:tc>
        <w:tc>
          <w:tcPr/>
          <w:p>
            <w:pPr>
              <w:pStyle w:val="Compact"/>
              <w:jc w:val="left"/>
            </w:pPr>
            <w:r>
              <w:t xml:space="preserve">Permitting, Code Review &amp; City of Chicago Submittals</w:t>
            </w:r>
          </w:p>
        </w:tc>
        <w:tc>
          <w:tcPr/>
          <w:p>
            <w:pPr>
              <w:pStyle w:val="Compact"/>
              <w:jc w:val="left"/>
            </w:pPr>
            <w:r>
              <w:t xml:space="preserve">Phase V</w:t>
            </w:r>
          </w:p>
        </w:tc>
        <w:tc>
          <w:tcPr/>
          <w:p>
            <w:pPr>
              <w:pStyle w:val="Compact"/>
              <w:jc w:val="left"/>
            </w:pPr>
            <w:r>
              <w:t xml:space="preserve">60</w:t>
            </w:r>
          </w:p>
        </w:tc>
        <w:tc>
          <w:tcPr/>
          <w:p>
            <w:pPr>
              <w:pStyle w:val="Compact"/>
              <w:jc w:val="left"/>
            </w:pPr>
            <w:r>
              <w:t xml:space="preserve">$185.00</w:t>
            </w:r>
          </w:p>
        </w:tc>
        <w:tc>
          <w:tcPr/>
          <w:p>
            <w:pPr>
              <w:pStyle w:val="Compact"/>
              <w:jc w:val="left"/>
            </w:pPr>
            <w:r>
              <w:t xml:space="preserve">$11,100.00</w:t>
            </w:r>
          </w:p>
        </w:tc>
      </w:tr>
      <w:tr>
        <w:tc>
          <w:tcPr/>
          <w:p>
            <w:pPr>
              <w:pStyle w:val="Compact"/>
              <w:jc w:val="left"/>
            </w:pPr>
            <w:r>
              <w:t xml:space="preserve">6</w:t>
            </w:r>
          </w:p>
        </w:tc>
        <w:tc>
          <w:tcPr/>
          <w:p>
            <w:pPr>
              <w:pStyle w:val="Compact"/>
              <w:jc w:val="left"/>
            </w:pPr>
            <w:r>
              <w:t xml:space="preserve">Bidding &amp; Contractor Negotiation Support</w:t>
            </w:r>
          </w:p>
        </w:tc>
        <w:tc>
          <w:tcPr/>
          <w:p>
            <w:pPr>
              <w:pStyle w:val="Compact"/>
              <w:jc w:val="left"/>
            </w:pPr>
            <w:r>
              <w:t xml:space="preserve">Phase VI</w:t>
            </w:r>
          </w:p>
        </w:tc>
        <w:tc>
          <w:tcPr/>
          <w:p>
            <w:pPr>
              <w:pStyle w:val="Compact"/>
              <w:jc w:val="left"/>
            </w:pPr>
            <w:r>
              <w:t xml:space="preserve">50</w:t>
            </w:r>
          </w:p>
        </w:tc>
        <w:tc>
          <w:tcPr/>
          <w:p>
            <w:pPr>
              <w:pStyle w:val="Compact"/>
              <w:jc w:val="left"/>
            </w:pPr>
            <w:r>
              <w:t xml:space="preserve">$185.00</w:t>
            </w:r>
          </w:p>
        </w:tc>
        <w:tc>
          <w:tcPr/>
          <w:p>
            <w:pPr>
              <w:pStyle w:val="Compact"/>
              <w:jc w:val="left"/>
            </w:pPr>
            <w:r>
              <w:t xml:space="preserve">$9,250.00</w:t>
            </w:r>
          </w:p>
        </w:tc>
      </w:tr>
      <w:tr>
        <w:tc>
          <w:tcPr/>
          <w:p>
            <w:pPr>
              <w:pStyle w:val="Compact"/>
              <w:jc w:val="left"/>
            </w:pPr>
            <w:r>
              <w:t xml:space="preserve">7</w:t>
            </w:r>
          </w:p>
        </w:tc>
        <w:tc>
          <w:tcPr/>
          <w:p>
            <w:pPr>
              <w:pStyle w:val="Compact"/>
              <w:jc w:val="left"/>
            </w:pPr>
            <w:r>
              <w:t xml:space="preserve">Construction Administration (12 months)</w:t>
            </w:r>
          </w:p>
        </w:tc>
        <w:tc>
          <w:tcPr/>
          <w:p>
            <w:pPr>
              <w:pStyle w:val="Compact"/>
              <w:jc w:val="left"/>
            </w:pPr>
            <w:r>
              <w:t xml:space="preserve">Phase VII</w:t>
            </w:r>
          </w:p>
        </w:tc>
        <w:tc>
          <w:tcPr/>
          <w:p>
            <w:pPr>
              <w:pStyle w:val="Compact"/>
              <w:jc w:val="left"/>
            </w:pPr>
            <w:r>
              <w:t xml:space="preserve">200</w:t>
            </w:r>
          </w:p>
        </w:tc>
        <w:tc>
          <w:tcPr/>
          <w:p>
            <w:pPr>
              <w:pStyle w:val="Compact"/>
              <w:jc w:val="left"/>
            </w:pPr>
            <w:r>
              <w:t xml:space="preserve">$175.00</w:t>
            </w:r>
          </w:p>
        </w:tc>
        <w:tc>
          <w:tcPr/>
          <w:p>
            <w:pPr>
              <w:pStyle w:val="Compact"/>
              <w:jc w:val="left"/>
            </w:pPr>
            <w:r>
              <w:t xml:space="preserve">$35,000.00</w:t>
            </w:r>
          </w:p>
        </w:tc>
      </w:tr>
      <w:tr>
        <w:tc>
          <w:tcPr/>
          <w:p>
            <w:pPr>
              <w:pStyle w:val="Compact"/>
              <w:jc w:val="left"/>
            </w:pPr>
            <w:r>
              <w:t xml:space="preserve">8</w:t>
            </w:r>
          </w:p>
        </w:tc>
        <w:tc>
          <w:tcPr/>
          <w:p>
            <w:pPr>
              <w:pStyle w:val="Compact"/>
              <w:jc w:val="left"/>
            </w:pPr>
            <w:r>
              <w:t xml:space="preserve">Substantial &amp; Final Completion Services</w:t>
            </w:r>
          </w:p>
        </w:tc>
        <w:tc>
          <w:tcPr/>
          <w:p>
            <w:pPr>
              <w:pStyle w:val="Compact"/>
              <w:jc w:val="left"/>
            </w:pPr>
            <w:r>
              <w:t xml:space="preserve">Phase VIII</w:t>
            </w:r>
          </w:p>
        </w:tc>
        <w:tc>
          <w:tcPr/>
          <w:p>
            <w:pPr>
              <w:pStyle w:val="Compact"/>
              <w:jc w:val="left"/>
            </w:pPr>
            <w:r>
              <w:t xml:space="preserve">30</w:t>
            </w:r>
          </w:p>
        </w:tc>
        <w:tc>
          <w:tcPr/>
          <w:p>
            <w:pPr>
              <w:pStyle w:val="Compact"/>
              <w:jc w:val="left"/>
            </w:pPr>
            <w:r>
              <w:t xml:space="preserve">$175.00</w:t>
            </w:r>
          </w:p>
        </w:tc>
        <w:tc>
          <w:tcPr/>
          <w:p>
            <w:pPr>
              <w:pStyle w:val="Compact"/>
              <w:jc w:val="left"/>
            </w:pPr>
            <w:r>
              <w:t xml:space="preserve">$5,250.00</w:t>
            </w:r>
          </w:p>
        </w:tc>
      </w:tr>
      <w:tr>
        <w:tc>
          <w:tcPr/>
          <w:p>
            <w:pPr>
              <w:pStyle w:val="Compact"/>
              <w:jc w:val="left"/>
            </w:pPr>
            <w:r>
              <w:t xml:space="preserve">9</w:t>
            </w:r>
          </w:p>
        </w:tc>
        <w:tc>
          <w:tcPr/>
          <w:p>
            <w:pPr>
              <w:pStyle w:val="Compact"/>
              <w:jc w:val="left"/>
            </w:pPr>
            <w:r>
              <w:t xml:space="preserve">Reproduction of Drawings &amp; Digital Deliverables</w:t>
            </w:r>
          </w:p>
        </w:tc>
        <w:tc>
          <w:tcPr/>
          <w:p>
            <w:pPr>
              <w:pStyle w:val="Compact"/>
              <w:jc w:val="left"/>
            </w:pPr>
            <w:r>
              <w:t xml:space="preserve">General</w:t>
            </w:r>
          </w:p>
        </w:tc>
        <w:tc>
          <w:tcPr/>
          <w:p>
            <w:pPr>
              <w:pStyle w:val="Compact"/>
              <w:jc w:val="left"/>
            </w:pPr>
            <w:r>
              <w:t xml:space="preserve">15</w:t>
            </w:r>
          </w:p>
        </w:tc>
        <w:tc>
          <w:tcPr/>
          <w:p>
            <w:pPr>
              <w:pStyle w:val="Compact"/>
              <w:jc w:val="left"/>
            </w:pPr>
            <w:r>
              <w:t xml:space="preserve">$120.00</w:t>
            </w:r>
          </w:p>
        </w:tc>
        <w:tc>
          <w:tcPr/>
          <w:p>
            <w:pPr>
              <w:pStyle w:val="Compact"/>
              <w:jc w:val="left"/>
            </w:pPr>
            <w:r>
              <w:t xml:space="preserve">$1,800.00</w:t>
            </w:r>
          </w:p>
        </w:tc>
      </w:tr>
      <w:tr>
        <w:tc>
          <w:tcPr/>
          <w:p>
            <w:pPr>
              <w:pStyle w:val="Compact"/>
              <w:jc w:val="left"/>
            </w:pPr>
            <w:r>
              <w:t xml:space="preserve">10</w:t>
            </w:r>
          </w:p>
        </w:tc>
        <w:tc>
          <w:tcPr/>
          <w:p>
            <w:pPr>
              <w:pStyle w:val="Compact"/>
              <w:jc w:val="left"/>
            </w:pPr>
            <w:r>
              <w:t xml:space="preserve">Travel &amp; Site Visit Expenses (Chicago Metro Area)</w:t>
            </w:r>
          </w:p>
        </w:tc>
        <w:tc>
          <w:tcPr/>
          <w:p>
            <w:pPr>
              <w:pStyle w:val="Compact"/>
              <w:jc w:val="left"/>
            </w:pPr>
            <w:r>
              <w:t xml:space="preserve">General</w:t>
            </w:r>
          </w:p>
        </w:tc>
        <w:tc>
          <w:tcPr/>
          <w:p>
            <w:pPr>
              <w:pStyle w:val="Compact"/>
              <w:jc w:val="left"/>
            </w:pPr>
            <w:r>
              <w:t xml:space="preserve">—</w:t>
            </w:r>
          </w:p>
        </w:tc>
        <w:tc>
          <w:tcPr/>
          <w:p>
            <w:pPr>
              <w:pStyle w:val="Compact"/>
              <w:jc w:val="left"/>
            </w:pPr>
            <w:r>
              <w:t xml:space="preserve">—</w:t>
            </w:r>
          </w:p>
        </w:tc>
        <w:tc>
          <w:tcPr/>
          <w:p>
            <w:pPr>
              <w:pStyle w:val="Compact"/>
              <w:jc w:val="left"/>
            </w:pPr>
            <w:r>
              <w:t xml:space="preserve">$2,500.00</w:t>
            </w:r>
          </w:p>
        </w:tc>
      </w:tr>
      <w:tr>
        <w:tc>
          <w:tcPr>
            <w:gridSpan w:val="5"/>
          </w:tcPr>
          <w:p>
            <w:pPr>
              <w:pStyle w:val="Compact"/>
              <w:jc w:val="right"/>
            </w:pPr>
            <w:r>
              <w:t xml:space="preserve">Subtotal (Professional Fees)</w:t>
            </w:r>
          </w:p>
        </w:tc>
        <w:tc>
          <w:tcPr/>
          <w:p>
            <w:pPr>
              <w:pStyle w:val="Compact"/>
              <w:jc w:val="left"/>
            </w:pPr>
            <w:r>
              <w:t xml:space="preserve">$164,800.00</w:t>
            </w:r>
          </w:p>
        </w:tc>
      </w:tr>
      <w:tr>
        <w:tc>
          <w:tcPr>
            <w:gridSpan w:val="5"/>
          </w:tcPr>
          <w:p>
            <w:pPr>
              <w:pStyle w:val="Compact"/>
              <w:jc w:val="right"/>
            </w:pPr>
            <w:r>
              <w:t xml:space="preserve">Illinois Sales Tax (0% – Professional Services Exempt)</w:t>
            </w:r>
          </w:p>
        </w:tc>
        <w:tc>
          <w:tcPr/>
          <w:p>
            <w:pPr>
              <w:pStyle w:val="Compact"/>
              <w:jc w:val="left"/>
            </w:pPr>
            <w:r>
              <w:t xml:space="preserve">$0.00</w:t>
            </w:r>
          </w:p>
        </w:tc>
      </w:tr>
      <w:tr>
        <w:tc>
          <w:tcPr>
            <w:gridSpan w:val="5"/>
          </w:tcPr>
          <w:p>
            <w:pPr>
              <w:pStyle w:val="Compact"/>
              <w:jc w:val="right"/>
            </w:pPr>
            <w:r>
              <w:rPr>
                <w:bCs/>
                <w:b/>
              </w:rPr>
              <w:t xml:space="preserve">TOTAL QUOTATION ESTIMATE (USD)</w:t>
            </w:r>
          </w:p>
        </w:tc>
        <w:tc>
          <w:tcPr/>
          <w:p>
            <w:pPr>
              <w:pStyle w:val="Compact"/>
              <w:jc w:val="left"/>
            </w:pPr>
            <w:r>
              <w:rPr>
                <w:bCs/>
                <w:b/>
              </w:rPr>
              <w:t xml:space="preserve">$164,800.00</w:t>
            </w:r>
          </w:p>
        </w:tc>
      </w:tr>
    </w:tbl>
    <w:p>
      <w:pPr>
        <w:pStyle w:val="BodyText"/>
      </w:pPr>
      <w:r>
        <w:rPr>
          <w:bCs/>
          <w:b/>
        </w:rPr>
        <w:t xml:space="preserve">Note:</w:t>
      </w:r>
      <w:r>
        <w:t xml:space="preserve"> </w:t>
      </w:r>
      <w:r>
        <w:t xml:space="preserve">This</w:t>
      </w:r>
      <w:r>
        <w:t xml:space="preserve"> </w:t>
      </w:r>
      <w:r>
        <w:t xml:space="preserve">Quotation Estimate</w:t>
      </w:r>
      <w:r>
        <w:t xml:space="preserve"> </w:t>
      </w:r>
      <w:r>
        <w:t xml:space="preserve">is based on the project scope as described in the client's initial briefing dated May 28, 2025. Any changes to the scope, additional design iterations beyond three (3) per phase, or unforeseen structural conditions discovered during construction may result in additional fees. All such changes will be documented in a written Change Order signed by both the</w:t>
      </w:r>
      <w:r>
        <w:t xml:space="preserve"> </w:t>
      </w:r>
      <w:r>
        <w:t xml:space="preserve">Architect</w:t>
      </w:r>
      <w:r>
        <w:t xml:space="preserve"> </w:t>
      </w:r>
      <w:r>
        <w:t xml:space="preserve">of record and the client prior to execution.</w:t>
      </w:r>
    </w:p>
    <w:bookmarkEnd w:id="25"/>
    <w:bookmarkStart w:id="26" w:name="payment-schedule"/>
    <w:p>
      <w:pPr>
        <w:pStyle w:val="Heading2"/>
      </w:pPr>
      <w:r>
        <w:t xml:space="preserve">4. Payment Schedule</w:t>
      </w:r>
    </w:p>
    <w:p>
      <w:pPr>
        <w:pStyle w:val="FirstParagraph"/>
      </w:pPr>
      <w:r>
        <w:t xml:space="preserve">Payment for the</w:t>
      </w:r>
      <w:r>
        <w:t xml:space="preserve"> </w:t>
      </w:r>
      <w:r>
        <w:t xml:space="preserve">Architect</w:t>
      </w:r>
      <w:r>
        <w:t xml:space="preserve">'s professional services shall be made in accordance with the following milestone-based schedule, as is standard practice for architectural engagements in</w:t>
      </w:r>
      <w:r>
        <w:t xml:space="preserve"> </w:t>
      </w:r>
      <w:r>
        <w:t xml:space="preserve">United States Chicago</w:t>
      </w:r>
      <w:r>
        <w:t xml:space="preserv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(USD)</w:t>
            </w:r>
          </w:p>
        </w:tc>
      </w:tr>
      <w:tr>
        <w:tc>
          <w:tcPr/>
          <w:p>
            <w:pPr>
              <w:pStyle w:val="Compact"/>
              <w:jc w:val="left"/>
            </w:pPr>
            <w:r>
              <w:t xml:space="preserve">Upon Execution of Architectural Services Agreement</w:t>
            </w:r>
          </w:p>
        </w:tc>
        <w:tc>
          <w:tcPr/>
          <w:p>
            <w:pPr>
              <w:pStyle w:val="Compact"/>
              <w:jc w:val="left"/>
            </w:pPr>
            <w:r>
              <w:t xml:space="preserve">10%</w:t>
            </w:r>
          </w:p>
        </w:tc>
        <w:tc>
          <w:tcPr/>
          <w:p>
            <w:pPr>
              <w:pStyle w:val="Compact"/>
              <w:jc w:val="left"/>
            </w:pPr>
            <w:r>
              <w:t xml:space="preserve">$16,480.00</w:t>
            </w:r>
          </w:p>
        </w:tc>
      </w:tr>
      <w:tr>
        <w:tc>
          <w:tcPr/>
          <w:p>
            <w:pPr>
              <w:pStyle w:val="Compact"/>
              <w:jc w:val="left"/>
            </w:pPr>
            <w:r>
              <w:t xml:space="preserve">Upon Approval of Schematic Design</w:t>
            </w:r>
          </w:p>
        </w:tc>
        <w:tc>
          <w:tcPr/>
          <w:p>
            <w:pPr>
              <w:pStyle w:val="Compact"/>
              <w:jc w:val="left"/>
            </w:pPr>
            <w:r>
              <w:t xml:space="preserve">15%</w:t>
            </w:r>
          </w:p>
        </w:tc>
        <w:tc>
          <w:tcPr/>
          <w:p>
            <w:pPr>
              <w:pStyle w:val="Compact"/>
              <w:jc w:val="left"/>
            </w:pPr>
            <w:r>
              <w:t xml:space="preserve">$24,720.00</w:t>
            </w:r>
          </w:p>
        </w:tc>
      </w:tr>
      <w:tr>
        <w:tc>
          <w:tcPr/>
          <w:p>
            <w:pPr>
              <w:pStyle w:val="Compact"/>
              <w:jc w:val="left"/>
            </w:pPr>
            <w:r>
              <w:t xml:space="preserve">Upon Approval of Design Development</w:t>
            </w:r>
          </w:p>
        </w:tc>
        <w:tc>
          <w:tcPr/>
          <w:p>
            <w:pPr>
              <w:pStyle w:val="Compact"/>
              <w:jc w:val="left"/>
            </w:pPr>
            <w:r>
              <w:t xml:space="preserve">15%</w:t>
            </w:r>
          </w:p>
        </w:tc>
        <w:tc>
          <w:tcPr/>
          <w:p>
            <w:pPr>
              <w:pStyle w:val="Compact"/>
              <w:jc w:val="left"/>
            </w:pPr>
            <w:r>
              <w:t xml:space="preserve">$24,720.00</w:t>
            </w:r>
          </w:p>
        </w:tc>
      </w:tr>
      <w:tr>
        <w:tc>
          <w:tcPr/>
          <w:p>
            <w:pPr>
              <w:pStyle w:val="Compact"/>
              <w:jc w:val="left"/>
            </w:pPr>
            <w:r>
              <w:t xml:space="preserve">Upon Issuance of Construction Documents</w:t>
            </w:r>
          </w:p>
        </w:tc>
        <w:tc>
          <w:tcPr/>
          <w:p>
            <w:pPr>
              <w:pStyle w:val="Compact"/>
              <w:jc w:val="left"/>
            </w:pPr>
            <w:r>
              <w:t xml:space="preserve">25%</w:t>
            </w:r>
          </w:p>
        </w:tc>
        <w:tc>
          <w:tcPr/>
          <w:p>
            <w:pPr>
              <w:pStyle w:val="Compact"/>
              <w:jc w:val="left"/>
            </w:pPr>
            <w:r>
              <w:t xml:space="preserve">$41,200.00</w:t>
            </w:r>
          </w:p>
        </w:tc>
      </w:tr>
      <w:tr>
        <w:tc>
          <w:tcPr/>
          <w:p>
            <w:pPr>
              <w:pStyle w:val="Compact"/>
              <w:jc w:val="left"/>
            </w:pPr>
            <w:r>
              <w:t xml:space="preserve">Upon Receipt of Building Permits (City of Chicago)</w:t>
            </w:r>
          </w:p>
        </w:tc>
        <w:tc>
          <w:tcPr/>
          <w:p>
            <w:pPr>
              <w:pStyle w:val="Compact"/>
              <w:jc w:val="left"/>
            </w:pPr>
            <w:r>
              <w:t xml:space="preserve">10%</w:t>
            </w:r>
          </w:p>
        </w:tc>
        <w:tc>
          <w:tcPr/>
          <w:p>
            <w:pPr>
              <w:pStyle w:val="Compact"/>
              <w:jc w:val="left"/>
            </w:pPr>
            <w:r>
              <w:t xml:space="preserve">$16,480.00</w:t>
            </w:r>
          </w:p>
        </w:tc>
      </w:tr>
      <w:tr>
        <w:tc>
          <w:tcPr/>
          <w:p>
            <w:pPr>
              <w:pStyle w:val="Compact"/>
              <w:jc w:val="left"/>
            </w:pPr>
            <w:r>
              <w:t xml:space="preserve">Monthly during Construction Administration</w:t>
            </w:r>
          </w:p>
        </w:tc>
        <w:tc>
          <w:tcPr/>
          <w:p>
            <w:pPr>
              <w:pStyle w:val="Compact"/>
              <w:jc w:val="left"/>
            </w:pPr>
            <w:r>
              <w:t xml:space="preserve">20%</w:t>
            </w:r>
          </w:p>
        </w:tc>
        <w:tc>
          <w:tcPr/>
          <w:p>
            <w:pPr>
              <w:pStyle w:val="Compact"/>
              <w:jc w:val="left"/>
            </w:pPr>
            <w:r>
              <w:t xml:space="preserve">$32,960.00</w:t>
            </w:r>
          </w:p>
        </w:tc>
      </w:tr>
      <w:tr>
        <w:tc>
          <w:tcPr/>
          <w:p>
            <w:pPr>
              <w:pStyle w:val="Compact"/>
              <w:jc w:val="left"/>
            </w:pPr>
            <w:r>
              <w:t xml:space="preserve">Upon Substantial &amp; Final Completion</w:t>
            </w:r>
          </w:p>
        </w:tc>
        <w:tc>
          <w:tcPr/>
          <w:p>
            <w:pPr>
              <w:pStyle w:val="Compact"/>
              <w:jc w:val="left"/>
            </w:pPr>
            <w:r>
              <w:t xml:space="preserve">5%</w:t>
            </w:r>
          </w:p>
        </w:tc>
        <w:tc>
          <w:tcPr/>
          <w:p>
            <w:pPr>
              <w:pStyle w:val="Compact"/>
              <w:jc w:val="left"/>
            </w:pPr>
            <w:r>
              <w:t xml:space="preserve">$8,240.00</w:t>
            </w:r>
          </w:p>
        </w:tc>
      </w:tr>
    </w:tbl>
    <w:bookmarkEnd w:id="26"/>
    <w:bookmarkStart w:id="27"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the expiration date, fees and rates are subject to revision based on current market conditions in the</w:t>
      </w:r>
      <w:r>
        <w:t xml:space="preserve"> </w:t>
      </w:r>
      <w:r>
        <w:t xml:space="preserve">United States Chicago</w:t>
      </w:r>
      <w:r>
        <w:t xml:space="preserve"> </w:t>
      </w:r>
      <w:r>
        <w:t xml:space="preserve">architectural services sector.</w:t>
      </w:r>
    </w:p>
    <w:p>
      <w:pPr>
        <w:numPr>
          <w:ilvl w:val="0"/>
          <w:numId w:val="1002"/>
        </w:numPr>
        <w:pStyle w:val="Compact"/>
      </w:pPr>
      <w:r>
        <w:t xml:space="preserve">All services will be performed by or under the direct supervision of a licensed</w:t>
      </w:r>
      <w:r>
        <w:t xml:space="preserve"> </w:t>
      </w:r>
      <w:r>
        <w:t xml:space="preserve">Architect</w:t>
      </w:r>
      <w:r>
        <w:t xml:space="preserve"> </w:t>
      </w:r>
      <w:r>
        <w:t xml:space="preserve">registered with the State of Illinois. The Architect of record for this project shall be Daniel M. Kowalski, AIA, IL License No. 180.001234.</w:t>
      </w:r>
    </w:p>
    <w:p>
      <w:pPr>
        <w:numPr>
          <w:ilvl w:val="0"/>
          <w:numId w:val="1002"/>
        </w:numPr>
        <w:pStyle w:val="Compact"/>
      </w:pPr>
      <w:r>
        <w:t xml:space="preserve">The</w:t>
      </w:r>
      <w:r>
        <w:t xml:space="preserve"> </w:t>
      </w:r>
      <w:r>
        <w:t xml:space="preserve">Architect</w:t>
      </w:r>
      <w:r>
        <w:t xml:space="preserve"> </w:t>
      </w:r>
      <w:r>
        <w:t xml:space="preserve">shall carry professional liability insurance with a minimum coverage of $2,000,000 per occurrence and $4,000,000 aggregate, as required by the Illinois Professional Liability Insurance Act.</w:t>
      </w:r>
    </w:p>
    <w:p>
      <w:pPr>
        <w:numPr>
          <w:ilvl w:val="0"/>
          <w:numId w:val="1002"/>
        </w:numPr>
        <w:pStyle w:val="Compact"/>
      </w:pPr>
      <w:r>
        <w:t xml:space="preserve">Intellectual property rights in all drawings, designs, and documents produced by the</w:t>
      </w:r>
      <w:r>
        <w:t xml:space="preserve"> </w:t>
      </w:r>
      <w:r>
        <w:t xml:space="preserve">Architect</w:t>
      </w:r>
      <w:r>
        <w:t xml:space="preserve"> </w:t>
      </w:r>
      <w:r>
        <w:t xml:space="preserve">shall remain the property of Lakeview Architectural Studio, LLC. The client receives a non-exclusive license to use the documents solely for the purpose of constructing the project as designed.</w:t>
      </w:r>
    </w:p>
    <w:p>
      <w:pPr>
        <w:numPr>
          <w:ilvl w:val="0"/>
          <w:numId w:val="1002"/>
        </w:numPr>
        <w:pStyle w:val="Compact"/>
      </w:pPr>
      <w:r>
        <w:t xml:space="preserve">This engagement is governed by the laws of the State of Illinois. Any disputes arising from this</w:t>
      </w:r>
      <w:r>
        <w:t xml:space="preserve"> </w:t>
      </w:r>
      <w:r>
        <w:t xml:space="preserve">Quotation Estimate</w:t>
      </w:r>
      <w:r>
        <w:t xml:space="preserve"> </w:t>
      </w:r>
      <w:r>
        <w:t xml:space="preserve">or the resulting Architectural Services Agreement shall be resolved through binding arbitration in Cook County,</w:t>
      </w:r>
      <w:r>
        <w:t xml:space="preserve"> </w:t>
      </w:r>
      <w:r>
        <w:t xml:space="preserve">United States Chicago</w:t>
      </w:r>
      <w:r>
        <w:t xml:space="preserve">, in accordance with the rules of the American Arbitration Association.</w:t>
      </w:r>
    </w:p>
    <w:p>
      <w:pPr>
        <w:numPr>
          <w:ilvl w:val="0"/>
          <w:numId w:val="1002"/>
        </w:numPr>
        <w:pStyle w:val="Compact"/>
      </w:pPr>
      <w:r>
        <w:t xml:space="preserve">The</w:t>
      </w:r>
      <w:r>
        <w:t xml:space="preserve"> </w:t>
      </w:r>
      <w:r>
        <w:t xml:space="preserve">Architect</w:t>
      </w:r>
      <w:r>
        <w:t xml:space="preserve"> </w:t>
      </w:r>
      <w:r>
        <w:t xml:space="preserve">is not responsible for costs or delays caused by the client, the general contractor, third-party consultants, or acts of God. The Architect's liability shall not exceed the total professional fees paid under this agreement.</w:t>
      </w:r>
    </w:p>
    <w:p>
      <w:pPr>
        <w:numPr>
          <w:ilvl w:val="0"/>
          <w:numId w:val="1002"/>
        </w:numPr>
        <w:pStyle w:val="Compact"/>
      </w:pPr>
      <w:r>
        <w:t xml:space="preserve">All communications regarding this project, including change orders, RFIs, and approval notices, shall be conducted in writing (email acceptable) and directed to the project manager at Lakeview Architectural Studio, LLC, Chicago, Illinois.</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A formal Architectural Services Agreement, based on the AIA B101-2017 document adapted for Illinois practice, must be executed by both parties before any services commence.</w:t>
      </w:r>
    </w:p>
    <w:bookmarkEnd w:id="27"/>
    <w:bookmarkStart w:id="28"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fee structure outlined herein for the</w:t>
      </w:r>
      <w:r>
        <w:t xml:space="preserve"> </w:t>
      </w:r>
      <w:r>
        <w:t xml:space="preserve">Architect</w:t>
      </w:r>
      <w:r>
        <w:t xml:space="preserve"> </w:t>
      </w:r>
      <w:r>
        <w:t xml:space="preserve">services to be performed in</w:t>
      </w:r>
      <w:r>
        <w:t xml:space="preserve"> </w:t>
      </w:r>
      <w:r>
        <w:t xml:space="preserve">United States Chicago</w:t>
      </w:r>
      <w:r>
        <w:t xml:space="preserve">. This acceptance does not obligate either party until a formal Architectural Services Agreement is executed.</w:t>
      </w:r>
    </w:p>
    <w:p>
      <w:pPr>
        <w:pStyle w:val="BodyText"/>
      </w:pPr>
      <w:r>
        <w:rPr>
          <w:bCs/>
          <w:b/>
        </w:rPr>
        <w:t xml:space="preserve">For Lakeview Architectural Studio, LLC (Architect)</w:t>
      </w:r>
      <w:r>
        <w:br/>
      </w:r>
      <w:r>
        <w:t xml:space="preserve">Daniel M. Kowalski, AIA</w:t>
      </w:r>
      <w:r>
        <w:br/>
      </w:r>
      <w:r>
        <w:t xml:space="preserve">Principal Architect, IL License No. 180.001234</w:t>
      </w:r>
      <w:r>
        <w:br/>
      </w:r>
      <w:r>
        <w:t xml:space="preserve">Date: ______________________</w:t>
      </w:r>
    </w:p>
    <w:p>
      <w:pPr>
        <w:pStyle w:val="BodyText"/>
      </w:pPr>
      <w:r>
        <w:rPr>
          <w:bCs/>
          <w:b/>
        </w:rPr>
        <w:t xml:space="preserve">For the Client</w:t>
      </w:r>
      <w:r>
        <w:br/>
      </w:r>
      <w:r>
        <w:t xml:space="preserve">Jonathan R. Whitfield</w:t>
      </w:r>
      <w:r>
        <w:br/>
      </w:r>
      <w:r>
        <w:t xml:space="preserve">Date: ______________________</w:t>
      </w:r>
    </w:p>
    <w:p>
      <w:pPr>
        <w:pStyle w:val="BodyText"/>
      </w:pPr>
      <w:r>
        <w:t xml:space="preserve">Lakeview Architectural Studio, LLC • 1200 N. Michigan Avenue, Suite 2400, Chicago, IL 60610, United States</w:t>
      </w:r>
    </w:p>
    <w:p>
      <w:pPr>
        <w:pStyle w:val="BodyText"/>
      </w:pPr>
      <w:r>
        <w:t xml:space="preserve">Quotation Estimate No. QTE-2025-00482 • Page 1 of 1 • Confidential — For Client Use Only</w:t>
      </w:r>
    </w:p>
    <w:p>
      <w:pPr>
        <w:pStyle w:val="BodyText"/>
      </w:pPr>
      <w:r>
        <w:t xml:space="preserve">This document was prepared in accordance with the standards of the American Institute of Architects (AIA) and the Illinois Department of Financial and Professional Regulation.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Architect Services - United States Chicago</dc:title>
  <dc:creator/>
  <dc:language>en</dc:language>
  <cp:keywords/>
  <dcterms:created xsi:type="dcterms:W3CDTF">2026-10-10T02:49:20Z</dcterms:created>
  <dcterms:modified xsi:type="dcterms:W3CDTF">2026-10-10T02:49:20Z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