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Architect Services — Residential &amp; Commercial Design</w:t>
      </w:r>
    </w:p>
    <w:bookmarkEnd w:id="20"/>
    <w:bookmarkStart w:id="21" w:name="prepared-by"/>
    <w:p>
      <w:pPr>
        <w:pStyle w:val="Heading3"/>
      </w:pPr>
      <w:r>
        <w:t xml:space="preserve">Prepared By:</w:t>
      </w:r>
    </w:p>
    <w:p>
      <w:pPr>
        <w:pStyle w:val="FirstParagraph"/>
      </w:pPr>
      <w:r>
        <w:rPr>
          <w:bCs/>
          <w:b/>
        </w:rPr>
        <w:t xml:space="preserve">Meridian Architectural Design Group, LLC</w:t>
      </w:r>
      <w:r>
        <w:br/>
      </w:r>
      <w:r>
        <w:t xml:space="preserve">1200 Post Oak Boulevard, Suite 450</w:t>
      </w:r>
      <w:r>
        <w:br/>
      </w:r>
      <w:r>
        <w:t xml:space="preserve">Houston, Texas 77056</w:t>
      </w:r>
      <w:r>
        <w:br/>
      </w:r>
      <w:r>
        <w:t xml:space="preserve">United States</w:t>
      </w:r>
      <w:r>
        <w:br/>
      </w:r>
      <w:r>
        <w:t xml:space="preserve">Phone: (713) 555-0182</w:t>
      </w:r>
      <w:r>
        <w:br/>
      </w:r>
      <w:r>
        <w:t xml:space="preserve">Email: estimates@meridianarch.com</w:t>
      </w:r>
      <w:r>
        <w:br/>
      </w:r>
      <w:r>
        <w:t xml:space="preserve">TCEQ License No. A-18472</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r>
        <w:br/>
      </w:r>
      <w:r>
        <w:rPr>
          <w:bCs/>
          <w:b/>
        </w:rPr>
        <w:t xml:space="preserve">Address:</w:t>
      </w:r>
      <w:r>
        <w:t xml:space="preserve"> </w:t>
      </w:r>
      <w:r>
        <w:t xml:space="preserve">[Client Street Address]</w:t>
      </w:r>
      <w:r>
        <w:br/>
      </w:r>
      <w:r>
        <w:t xml:space="preserve">Houston, Texas [ZIP Code]</w:t>
      </w:r>
      <w:r>
        <w:br/>
      </w:r>
      <w:r>
        <w:t xml:space="preserve">United States</w:t>
      </w:r>
      <w:r>
        <w:br/>
      </w:r>
      <w:r>
        <w:t xml:space="preserve">Phone: [Client Phone]</w:t>
      </w:r>
      <w:r>
        <w:br/>
      </w:r>
      <w:r>
        <w:t xml:space="preserve">Email: [Client Email]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QTE-2025-HOU-0487</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Project Location:</w:t>
            </w:r>
          </w:p>
        </w:tc>
        <w:tc>
          <w:tcPr/>
          <w:p>
            <w:pPr>
              <w:pStyle w:val="Compact"/>
              <w:jc w:val="left"/>
            </w:pPr>
            <w:r>
              <w:t xml:space="preserve">Houston, Harris County, Texas, United States</w:t>
            </w:r>
          </w:p>
        </w:tc>
      </w:tr>
      <w:tr>
        <w:tc>
          <w:tcPr/>
          <w:p>
            <w:pPr>
              <w:pStyle w:val="Compact"/>
              <w:jc w:val="left"/>
            </w:pPr>
            <w:r>
              <w:t xml:space="preserve">Project Type:</w:t>
            </w:r>
          </w:p>
        </w:tc>
        <w:tc>
          <w:tcPr/>
          <w:p>
            <w:pPr>
              <w:pStyle w:val="Compact"/>
              <w:jc w:val="left"/>
            </w:pPr>
            <w:r>
              <w:t xml:space="preserve">Residential Custom Home — 4,200 sq. ft.</w:t>
            </w:r>
          </w:p>
        </w:tc>
        <w:tc>
          <w:tcPr/>
          <w:p>
            <w:pPr>
              <w:pStyle w:val="Compact"/>
              <w:jc w:val="left"/>
            </w:pPr>
            <w:r>
              <w:t xml:space="preserve">Architect of Record:</w:t>
            </w:r>
          </w:p>
        </w:tc>
        <w:tc>
          <w:tcPr/>
          <w:p>
            <w:pPr>
              <w:pStyle w:val="Compact"/>
              <w:jc w:val="left"/>
            </w:pPr>
            <w:r>
              <w:t xml:space="preserve">Dr. Elena Vasquez, AIA, NCARB</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Architectural Design Group, LLC to provide a comprehensive, itemized breakdown of professional</w:t>
      </w:r>
      <w:r>
        <w:t xml:space="preserve"> </w:t>
      </w:r>
      <w:r>
        <w:t xml:space="preserve">Architect</w:t>
      </w:r>
      <w:r>
        <w:t xml:space="preserve"> </w:t>
      </w:r>
      <w:r>
        <w:t xml:space="preserve">services for the design, documentation, and construction administration of a custom residential project located in</w:t>
      </w:r>
      <w:r>
        <w:t xml:space="preserve"> </w:t>
      </w:r>
      <w:r>
        <w:t xml:space="preserve">Houston, United States</w:t>
      </w:r>
      <w:r>
        <w:t xml:space="preserve">. This document serves as a formal proposal outlining the scope of work, associated fees, project timeline, and contractual terms governing the engagement. All pricing reflects current market rates for architectural services in the Houston metropolitan area as of the date of issuance and complies with the Texas Board of Architectural Examiners regulations and the American Institute of Architects (AIA) standard fee schedules.</w:t>
      </w:r>
    </w:p>
    <w:bookmarkEnd w:id="23"/>
    <w:bookmarkStart w:id="24" w:name="scope-of-architect-services"/>
    <w:p>
      <w:pPr>
        <w:pStyle w:val="Heading2"/>
      </w:pPr>
      <w:r>
        <w:t xml:space="preserve">2. Scope of Architect Services</w:t>
      </w:r>
    </w:p>
    <w:p>
      <w:pPr>
        <w:pStyle w:val="FirstParagraph"/>
      </w:pPr>
      <w:r>
        <w:t xml:space="preserve">The following</w:t>
      </w:r>
      <w:r>
        <w:t xml:space="preserve"> </w:t>
      </w:r>
      <w:r>
        <w:t xml:space="preserve">Architect</w:t>
      </w:r>
      <w:r>
        <w:t xml:space="preserve"> </w:t>
      </w:r>
      <w:r>
        <w:t xml:space="preserve">services are included in this</w:t>
      </w:r>
      <w:r>
        <w:t xml:space="preserve"> </w:t>
      </w:r>
      <w:r>
        <w:t xml:space="preserve">Quotation Estimate</w:t>
      </w:r>
      <w:r>
        <w:t xml:space="preserve"> </w:t>
      </w:r>
      <w:r>
        <w:t xml:space="preserve">for the proposed residential development in</w:t>
      </w:r>
      <w:r>
        <w:t xml:space="preserve"> </w:t>
      </w:r>
      <w:r>
        <w:t xml:space="preserve">Houston, United States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Phase</w:t>
            </w:r>
          </w:p>
        </w:tc>
        <w:tc>
          <w:tcPr/>
          <w:p>
            <w:pPr>
              <w:pStyle w:val="Compact"/>
              <w:jc w:val="left"/>
            </w:pPr>
            <w:r>
              <w:t xml:space="preserve">Description of Work</w:t>
            </w:r>
          </w:p>
        </w:tc>
        <w:tc>
          <w:tcPr/>
          <w:p>
            <w:pPr>
              <w:pStyle w:val="Compact"/>
              <w:jc w:val="left"/>
            </w:pPr>
            <w:r>
              <w:t xml:space="preserve">Estimated Fee (USD)</w:t>
            </w:r>
          </w:p>
        </w:tc>
      </w:tr>
      <w:tr>
        <w:tc>
          <w:tcPr/>
          <w:p>
            <w:pPr>
              <w:pStyle w:val="Compact"/>
              <w:jc w:val="left"/>
            </w:pPr>
            <w:r>
              <w:t xml:space="preserve">1</w:t>
            </w:r>
          </w:p>
        </w:tc>
        <w:tc>
          <w:tcPr/>
          <w:p>
            <w:pPr>
              <w:pStyle w:val="Compact"/>
              <w:jc w:val="left"/>
            </w:pPr>
            <w:r>
              <w:t xml:space="preserve">Pre-Design &amp; Feasibility Study</w:t>
            </w:r>
          </w:p>
        </w:tc>
        <w:tc>
          <w:tcPr/>
          <w:p>
            <w:pPr>
              <w:pStyle w:val="Compact"/>
              <w:jc w:val="left"/>
            </w:pPr>
            <w:r>
              <w:t xml:space="preserve">Site analysis of the Houston parcel, zoning verification with Harris County, soil and floodplain assessment (TCEQ compliance), budget development, and conceptual massing studies.</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Schematic Design (SD)</w:t>
            </w:r>
          </w:p>
        </w:tc>
        <w:tc>
          <w:tcPr/>
          <w:p>
            <w:pPr>
              <w:pStyle w:val="Compact"/>
              <w:jc w:val="left"/>
            </w:pPr>
            <w:r>
              <w:t xml:space="preserve">Development of 3D conceptual renderings, floor plan iterations, material palette selection, and two (2) client review meetings. Includes coordination with structural and MEP consultants for the Houston climate zone.</w:t>
            </w:r>
          </w:p>
        </w:tc>
        <w:tc>
          <w:tcPr/>
          <w:p>
            <w:pPr>
              <w:pStyle w:val="Compact"/>
              <w:jc w:val="left"/>
            </w:pPr>
            <w:r>
              <w:t xml:space="preserve">$14,200.00</w:t>
            </w:r>
          </w:p>
        </w:tc>
      </w:tr>
      <w:tr>
        <w:tc>
          <w:tcPr/>
          <w:p>
            <w:pPr>
              <w:pStyle w:val="Compact"/>
              <w:jc w:val="left"/>
            </w:pPr>
            <w:r>
              <w:t xml:space="preserve">3</w:t>
            </w:r>
          </w:p>
        </w:tc>
        <w:tc>
          <w:tcPr/>
          <w:p>
            <w:pPr>
              <w:pStyle w:val="Compact"/>
              <w:jc w:val="left"/>
            </w:pPr>
            <w:r>
              <w:t xml:space="preserve">Design Development (DD)</w:t>
            </w:r>
          </w:p>
        </w:tc>
        <w:tc>
          <w:tcPr/>
          <w:p>
            <w:pPr>
              <w:pStyle w:val="Compact"/>
              <w:jc w:val="left"/>
            </w:pPr>
            <w:r>
              <w:t xml:space="preserve">Detailed architectural drawings, exterior elevation studies, interior finish schedules, and integration of hurricane-resistant design elements required by Houston building codes (IBC 2024, Texas amendments).</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Construction Documents (CD)</w:t>
            </w:r>
          </w:p>
        </w:tc>
        <w:tc>
          <w:tcPr/>
          <w:p>
            <w:pPr>
              <w:pStyle w:val="Compact"/>
              <w:jc w:val="left"/>
            </w:pPr>
            <w:r>
              <w:t xml:space="preserve">Full set of stamped construction drawings (A1 size), specifications, detail drawings, and permit submittal package for the City of Houston Department of Buildings and Inspections.</w:t>
            </w:r>
          </w:p>
        </w:tc>
        <w:tc>
          <w:tcPr/>
          <w:p>
            <w:pPr>
              <w:pStyle w:val="Compact"/>
              <w:jc w:val="left"/>
            </w:pPr>
            <w:r>
              <w:t xml:space="preserve">$22,400.00</w:t>
            </w:r>
          </w:p>
        </w:tc>
      </w:tr>
      <w:tr>
        <w:tc>
          <w:tcPr/>
          <w:p>
            <w:pPr>
              <w:pStyle w:val="Compact"/>
              <w:jc w:val="left"/>
            </w:pPr>
            <w:r>
              <w:t xml:space="preserve">5</w:t>
            </w:r>
          </w:p>
        </w:tc>
        <w:tc>
          <w:tcPr/>
          <w:p>
            <w:pPr>
              <w:pStyle w:val="Compact"/>
              <w:jc w:val="left"/>
            </w:pPr>
            <w:r>
              <w:t xml:space="preserve">Permitting &amp; Code Compliance</w:t>
            </w:r>
          </w:p>
        </w:tc>
        <w:tc>
          <w:tcPr/>
          <w:p>
            <w:pPr>
              <w:pStyle w:val="Compact"/>
              <w:jc w:val="left"/>
            </w:pPr>
            <w:r>
              <w:t xml:space="preserve">Submission of all architectural documents to the City of Houston, responses to plan review comments, and coordination with local authorities having jurisdiction (AHJ) in Harris County, Texas.</w:t>
            </w:r>
          </w:p>
        </w:tc>
        <w:tc>
          <w:tcPr/>
          <w:p>
            <w:pPr>
              <w:pStyle w:val="Compact"/>
              <w:jc w:val="left"/>
            </w:pPr>
            <w:r>
              <w:t xml:space="preserve">$4,600.00</w:t>
            </w:r>
          </w:p>
        </w:tc>
      </w:tr>
      <w:tr>
        <w:tc>
          <w:tcPr/>
          <w:p>
            <w:pPr>
              <w:pStyle w:val="Compact"/>
              <w:jc w:val="left"/>
            </w:pPr>
            <w:r>
              <w:t xml:space="preserve">6</w:t>
            </w:r>
          </w:p>
        </w:tc>
        <w:tc>
          <w:tcPr/>
          <w:p>
            <w:pPr>
              <w:pStyle w:val="Compact"/>
              <w:jc w:val="left"/>
            </w:pPr>
            <w:r>
              <w:t xml:space="preserve">Bidding &amp; Negotiation Support</w:t>
            </w:r>
          </w:p>
        </w:tc>
        <w:tc>
          <w:tcPr/>
          <w:p>
            <w:pPr>
              <w:pStyle w:val="Compact"/>
              <w:jc w:val="left"/>
            </w:pPr>
            <w:r>
              <w:t xml:space="preserve">Preparation of bid documents, attendance at contractor pre-bid meetings, and assistance in evaluating and negotiating construction contracts for the Houston project.</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Construction Administration (CA)</w:t>
            </w:r>
          </w:p>
        </w:tc>
        <w:tc>
          <w:tcPr/>
          <w:p>
            <w:pPr>
              <w:pStyle w:val="Compact"/>
              <w:jc w:val="left"/>
            </w:pPr>
            <w:r>
              <w:t xml:space="preserve">Monthly site visits (minimum 12 visits), review of shop drawings and submittals, issuance of RFIs, progress inspections, and final punch-list coordination. Travel within Houston city limits included.</w:t>
            </w:r>
          </w:p>
        </w:tc>
        <w:tc>
          <w:tcPr/>
          <w:p>
            <w:pPr>
              <w:pStyle w:val="Compact"/>
              <w:jc w:val="left"/>
            </w:pPr>
            <w:r>
              <w:t xml:space="preserve">$18,900.00</w:t>
            </w:r>
          </w:p>
        </w:tc>
      </w:tr>
      <w:tr>
        <w:tc>
          <w:tcPr/>
          <w:p>
            <w:pPr>
              <w:pStyle w:val="Compact"/>
              <w:jc w:val="left"/>
            </w:pPr>
            <w:r>
              <w:t xml:space="preserve">8</w:t>
            </w:r>
          </w:p>
        </w:tc>
        <w:tc>
          <w:tcPr/>
          <w:p>
            <w:pPr>
              <w:pStyle w:val="Compact"/>
              <w:jc w:val="left"/>
            </w:pPr>
            <w:r>
              <w:t xml:space="preserve">Post-Occupancy &amp; Warranty Support</w:t>
            </w:r>
          </w:p>
        </w:tc>
        <w:tc>
          <w:tcPr/>
          <w:p>
            <w:pPr>
              <w:pStyle w:val="Compact"/>
              <w:jc w:val="left"/>
            </w:pPr>
            <w:r>
              <w:t xml:space="preserve">One (1) post-occupancy evaluation at 6 months, resolution of warranty-period defects, and final as-built documentation for the client's records in Houston, Texas.</w:t>
            </w:r>
          </w:p>
        </w:tc>
        <w:tc>
          <w:tcPr/>
          <w:p>
            <w:pPr>
              <w:pStyle w:val="Compact"/>
              <w:jc w:val="left"/>
            </w:pPr>
            <w:r>
              <w:t xml:space="preserve">$2,800.00</w:t>
            </w:r>
          </w:p>
        </w:tc>
      </w:tr>
      <w:tr>
        <w:tc>
          <w:tcPr>
            <w:gridSpan w:val="3"/>
          </w:tcPr>
          <w:p>
            <w:pPr>
              <w:pStyle w:val="Compact"/>
              <w:jc w:val="left"/>
            </w:pPr>
            <w:r>
              <w:t xml:space="preserve">TOTAL ESTIMATED ARCHITECT FEES (Quotation Estimate)</w:t>
            </w:r>
          </w:p>
        </w:tc>
        <w:tc>
          <w:tcPr/>
          <w:p>
            <w:pPr>
              <w:pStyle w:val="Compact"/>
              <w:jc w:val="left"/>
            </w:pPr>
            <w:r>
              <w:t xml:space="preserve">$91,400.00</w:t>
            </w:r>
          </w:p>
        </w:tc>
      </w:tr>
    </w:tbl>
    <w:bookmarkEnd w:id="24"/>
    <w:bookmarkStart w:id="25" w:name="payment-schedule"/>
    <w:p>
      <w:pPr>
        <w:pStyle w:val="Heading2"/>
      </w:pPr>
      <w:r>
        <w:t xml:space="preserve">3. Payment Schedule</w:t>
      </w:r>
    </w:p>
    <w:p>
      <w:pPr>
        <w:pStyle w:val="FirstParagraph"/>
      </w:pPr>
      <w:r>
        <w:t xml:space="preserve">Fees outlined in this</w:t>
      </w:r>
      <w:r>
        <w:t xml:space="preserve"> </w:t>
      </w:r>
      <w:r>
        <w:t xml:space="preserve">Quotation Estimate</w:t>
      </w:r>
      <w:r>
        <w:t xml:space="preserve"> </w:t>
      </w:r>
      <w:r>
        <w:t xml:space="preserve">shall be invoiced according to the following milestone-based schedule, consistent with AIA Document B101-2017 standards:</w:t>
      </w:r>
    </w:p>
    <w:p>
      <w:pPr>
        <w:numPr>
          <w:ilvl w:val="0"/>
          <w:numId w:val="1001"/>
        </w:numPr>
        <w:pStyle w:val="Compact"/>
      </w:pPr>
      <w:r>
        <w:rPr>
          <w:bCs/>
          <w:b/>
        </w:rPr>
        <w:t xml:space="preserve">20%</w:t>
      </w:r>
      <w:r>
        <w:t xml:space="preserve"> </w:t>
      </w:r>
      <w:r>
        <w:t xml:space="preserve">— Upon execution of the Architect-Client Agreement and commencement of Pre-Design.</w:t>
      </w:r>
    </w:p>
    <w:p>
      <w:pPr>
        <w:numPr>
          <w:ilvl w:val="0"/>
          <w:numId w:val="1001"/>
        </w:numPr>
        <w:pStyle w:val="Compact"/>
      </w:pPr>
      <w:r>
        <w:rPr>
          <w:bCs/>
          <w:b/>
        </w:rPr>
        <w:t xml:space="preserve">15%</w:t>
      </w:r>
      <w:r>
        <w:t xml:space="preserve"> </w:t>
      </w:r>
      <w:r>
        <w:t xml:space="preserve">— Upon approval of Schematic Design deliverables.</w:t>
      </w:r>
    </w:p>
    <w:p>
      <w:pPr>
        <w:numPr>
          <w:ilvl w:val="0"/>
          <w:numId w:val="1001"/>
        </w:numPr>
        <w:pStyle w:val="Compact"/>
      </w:pPr>
      <w:r>
        <w:rPr>
          <w:bCs/>
          <w:b/>
        </w:rPr>
        <w:t xml:space="preserve">20%</w:t>
      </w:r>
      <w:r>
        <w:t xml:space="preserve"> </w:t>
      </w:r>
      <w:r>
        <w:t xml:space="preserve">— Upon approval of Design Development deliverables.</w:t>
      </w:r>
    </w:p>
    <w:p>
      <w:pPr>
        <w:numPr>
          <w:ilvl w:val="0"/>
          <w:numId w:val="1001"/>
        </w:numPr>
        <w:pStyle w:val="Compact"/>
      </w:pPr>
      <w:r>
        <w:rPr>
          <w:bCs/>
          <w:b/>
        </w:rPr>
        <w:t xml:space="preserve">25%</w:t>
      </w:r>
      <w:r>
        <w:t xml:space="preserve"> </w:t>
      </w:r>
      <w:r>
        <w:t xml:space="preserve">— Upon delivery of complete Construction Documents and permit approval.</w:t>
      </w:r>
    </w:p>
    <w:p>
      <w:pPr>
        <w:numPr>
          <w:ilvl w:val="0"/>
          <w:numId w:val="1001"/>
        </w:numPr>
        <w:pStyle w:val="Compact"/>
      </w:pPr>
      <w:r>
        <w:rPr>
          <w:bCs/>
          <w:b/>
        </w:rPr>
        <w:t xml:space="preserve">15%</w:t>
      </w:r>
      <w:r>
        <w:t xml:space="preserve"> </w:t>
      </w:r>
      <w:r>
        <w:t xml:space="preserve">— Billed monthly during Construction Administration (pro-rated).</w:t>
      </w:r>
    </w:p>
    <w:p>
      <w:pPr>
        <w:numPr>
          <w:ilvl w:val="0"/>
          <w:numId w:val="1001"/>
        </w:numPr>
        <w:pStyle w:val="Compact"/>
      </w:pPr>
      <w:r>
        <w:rPr>
          <w:bCs/>
          <w:b/>
        </w:rPr>
        <w:t xml:space="preserve">5%</w:t>
      </w:r>
      <w:r>
        <w:t xml:space="preserve"> </w:t>
      </w:r>
      <w:r>
        <w:t xml:space="preserve">— Upon final project completion and post-occupancy evaluation.</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After this period, fees are subject to revision based on current market conditions in the Houston, United States architectural services market.</w:t>
      </w:r>
    </w:p>
    <w:p>
      <w:pPr>
        <w:numPr>
          <w:ilvl w:val="0"/>
          <w:numId w:val="1002"/>
        </w:numPr>
        <w:pStyle w:val="Compact"/>
      </w:pPr>
      <w:r>
        <w:t xml:space="preserve">All fees are stated in United States Dollars (USD) and are exclusive of applicable Texas state and Harris County sales taxes, which shall be added at the prevailing rate of 8.25%.</w:t>
      </w:r>
    </w:p>
    <w:p>
      <w:pPr>
        <w:numPr>
          <w:ilvl w:val="0"/>
          <w:numId w:val="1002"/>
        </w:numPr>
        <w:pStyle w:val="Compact"/>
      </w:pPr>
      <w:r>
        <w:t xml:space="preserve">The</w:t>
      </w:r>
      <w:r>
        <w:t xml:space="preserve"> </w:t>
      </w:r>
      <w:r>
        <w:t xml:space="preserve">Architect</w:t>
      </w:r>
      <w:r>
        <w:t xml:space="preserve"> </w:t>
      </w:r>
      <w:r>
        <w:t xml:space="preserve">shall not be liable for costs arising from changes in scope requested by the client after the execution of the formal Architect-Client Agreement. Any such changes shall be documented via a written Change Order and priced separately.</w:t>
      </w:r>
    </w:p>
    <w:p>
      <w:pPr>
        <w:numPr>
          <w:ilvl w:val="0"/>
          <w:numId w:val="1002"/>
        </w:numPr>
        <w:pStyle w:val="Compact"/>
      </w:pPr>
      <w:r>
        <w:t xml:space="preserve">This engagement is governed by the laws of the State of Texas, United States. Any disputes shall be resolved through binding arbitration in Harris County, Houston, Texas, in accordance with the Texas Arbitration Act.</w:t>
      </w:r>
    </w:p>
    <w:p>
      <w:pPr>
        <w:numPr>
          <w:ilvl w:val="0"/>
          <w:numId w:val="1002"/>
        </w:numPr>
        <w:pStyle w:val="Compact"/>
      </w:pPr>
      <w:r>
        <w:t xml:space="preserve">The</w:t>
      </w:r>
      <w:r>
        <w:t xml:space="preserve"> </w:t>
      </w:r>
      <w:r>
        <w:t xml:space="preserve">Architect</w:t>
      </w:r>
      <w:r>
        <w:t xml:space="preserve"> </w:t>
      </w:r>
      <w:r>
        <w:t xml:space="preserve">maintains professional liability insurance with a minimum coverage of $2,000,000 per occurrence, as required by the Texas Board of Architectural Examiners.</w:t>
      </w:r>
    </w:p>
    <w:p>
      <w:pPr>
        <w:numPr>
          <w:ilvl w:val="0"/>
          <w:numId w:val="1002"/>
        </w:numPr>
        <w:pStyle w:val="Compact"/>
      </w:pPr>
      <w:r>
        <w:t xml:space="preserve">All intellectual property, including drawings, renderings, and design documents produced under this</w:t>
      </w:r>
      <w:r>
        <w:t xml:space="preserve"> </w:t>
      </w:r>
      <w:r>
        <w:t xml:space="preserve">Quotation Estimate</w:t>
      </w:r>
      <w:r>
        <w:t xml:space="preserve">, shall remain the property of Meridian Architectural Design Group, LLC until full payment is received. Upon final payment, the client receives a non-exclusive license to use the documents for the specific project in Houston, Texas.</w:t>
      </w:r>
    </w:p>
    <w:p>
      <w:pPr>
        <w:numPr>
          <w:ilvl w:val="0"/>
          <w:numId w:val="1002"/>
        </w:numPr>
        <w:pStyle w:val="Compact"/>
      </w:pPr>
      <w:r>
        <w:t xml:space="preserve">Site visits outside the Houston city limits (including surrounding suburbs such as The Woodlands, Sugar Land, or Katy) shall be billed at an additional travel rate of $1.25 per mile plus applicable tolls.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execute the formal AIA B101 Architect-Client Agreement incorporating these terms.</w:t>
      </w:r>
    </w:p>
    <w:bookmarkEnd w:id="26"/>
    <w:bookmarkStart w:id="27" w:name="project-timeline-estimate"/>
    <w:p>
      <w:pPr>
        <w:pStyle w:val="Heading2"/>
      </w:pPr>
      <w:r>
        <w:t xml:space="preserve">5. Project Timeline Estimate</w:t>
      </w:r>
    </w:p>
    <w:p>
      <w:pPr>
        <w:pStyle w:val="FirstParagraph"/>
      </w:pPr>
      <w:r>
        <w:t xml:space="preserve">Based on the scope described in this</w:t>
      </w:r>
      <w:r>
        <w:t xml:space="preserve"> </w:t>
      </w:r>
      <w:r>
        <w:t xml:space="preserve">Quotation Estimate</w:t>
      </w:r>
      <w:r>
        <w:t xml:space="preserve">, the estimated timeline for the</w:t>
      </w:r>
      <w:r>
        <w:t xml:space="preserve"> </w:t>
      </w:r>
      <w:r>
        <w:t xml:space="preserve">Architect</w:t>
      </w:r>
      <w:r>
        <w:t xml:space="preserve"> </w:t>
      </w:r>
      <w:r>
        <w:t xml:space="preserve">services in</w:t>
      </w:r>
      <w:r>
        <w:t xml:space="preserve"> </w:t>
      </w:r>
      <w:r>
        <w:t xml:space="preserve">Houston, United States</w:t>
      </w:r>
      <w:r>
        <w:t xml:space="preserve"> </w:t>
      </w:r>
      <w:r>
        <w:t xml:space="preserve">is as follows: Pre-Design (4 weeks), Schematic Design (6 weeks), Design Development (8 weeks), Construction Documents (10 weeks), Permitting (6–10 weeks, subject to City of Houston review), Bidding (3 weeks), and Construction Administration (14–18 months, dependent on contractor schedule). Total estimated duration: approximately 24 to 30 months from contract execution to post-occupancy evaluation.</w:t>
      </w:r>
    </w:p>
    <w:bookmarkEnd w:id="27"/>
    <w:bookmarkStart w:id="28"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proceed with the</w:t>
      </w:r>
      <w:r>
        <w:t xml:space="preserve"> </w:t>
      </w:r>
      <w:r>
        <w:t xml:space="preserve">Architect</w:t>
      </w:r>
      <w:r>
        <w:t xml:space="preserve"> </w:t>
      </w:r>
      <w:r>
        <w:t xml:space="preserve">services as described herein for the project located in</w:t>
      </w:r>
      <w:r>
        <w:t xml:space="preserve"> </w:t>
      </w:r>
      <w:r>
        <w:t xml:space="preserve">Houston, United States</w:t>
      </w:r>
      <w:r>
        <w:t xml:space="preserve">. This signature authorizes the preparation of the formal Architect-Client Agreement.</w:t>
      </w:r>
    </w:p>
    <w:p>
      <w:pPr>
        <w:pStyle w:val="BodyText"/>
      </w:pPr>
      <w:r>
        <w:rPr>
          <w:bCs/>
          <w:b/>
        </w:rPr>
        <w:t xml:space="preserve">Client Signature</w:t>
      </w:r>
      <w:r>
        <w:br/>
      </w:r>
      <w:r>
        <w:t xml:space="preserve">Name / Date</w:t>
      </w:r>
    </w:p>
    <w:p>
      <w:pPr>
        <w:pStyle w:val="BodyText"/>
      </w:pPr>
      <w:r>
        <w:rPr>
          <w:bCs/>
          <w:b/>
        </w:rPr>
        <w:t xml:space="preserve">Architect of Record</w:t>
      </w:r>
      <w:r>
        <w:br/>
      </w:r>
      <w:r>
        <w:t xml:space="preserve">Dr. Elena Vasquez, AIA, NCARB / Date</w:t>
      </w:r>
    </w:p>
    <w:p>
      <w:pPr>
        <w:pStyle w:val="BodyText"/>
      </w:pPr>
      <w:r>
        <w:t xml:space="preserve">Meridian Architectural Design Group, LLC — 1200 Post Oak Blvd, Suite 450, Houston, TX 77056, United States</w:t>
      </w:r>
      <w:r>
        <w:br/>
      </w:r>
      <w:r>
        <w:t xml:space="preserve">Quotation Estimate No. QTE-2025-HOU-0487 — Page 1 of 1 — This document is confidential and intended solely for the named recipient.</w:t>
      </w:r>
      <w:r>
        <w:br/>
      </w:r>
      <w:r>
        <w:t xml:space="preserve">© 2025 Meridian Architectural Design Group, LLC.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Houston, United States</dc:title>
  <dc:creator/>
  <dc:language>en</dc:language>
  <cp:keywords/>
  <dcterms:created xsi:type="dcterms:W3CDTF">2026-10-10T04:08:27Z</dcterms:created>
  <dcterms:modified xsi:type="dcterms:W3CDTF">2026-10-10T04:08:27Z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