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Architect Services — United States Miami, Florida</w:t>
      </w:r>
    </w:p>
    <w:p>
      <w:pPr>
        <w:pStyle w:val="BodyText"/>
      </w:pPr>
      <w:r>
        <w:t xml:space="preserve">Quotation Estimate No. QTE-2025-MIA-0472 | Date of Issue: June 12, 2025</w:t>
      </w:r>
    </w:p>
    <w:bookmarkEnd w:id="20"/>
    <w:p>
      <w:pPr>
        <w:pStyle w:val="BodyText"/>
      </w:pPr>
      <w:r>
        <w:rPr>
          <w:bCs/>
          <w:b/>
        </w:rPr>
        <w:t xml:space="preserve">Prepared By (Architect Firm):</w:t>
      </w:r>
      <w:r>
        <w:br/>
      </w:r>
      <w:r>
        <w:t xml:space="preserve">Biscayne Bay Architectural Group, LLC</w:t>
      </w:r>
      <w:r>
        <w:br/>
      </w:r>
      <w:r>
        <w:t xml:space="preserve">2100 Brickell Avenue, Suite 1450</w:t>
      </w:r>
      <w:r>
        <w:br/>
      </w:r>
      <w:r>
        <w:t xml:space="preserve">Miami, Florida 33131</w:t>
      </w:r>
      <w:r>
        <w:br/>
      </w:r>
      <w:r>
        <w:t xml:space="preserve">United States</w:t>
      </w:r>
      <w:r>
        <w:br/>
      </w:r>
      <w:r>
        <w:t xml:space="preserve">Tel: (305) 555-0187</w:t>
      </w:r>
      <w:r>
        <w:br/>
      </w:r>
      <w:r>
        <w:t xml:space="preserve">Email: estimates@biscaynebayarch.com</w:t>
      </w:r>
      <w:r>
        <w:br/>
      </w:r>
      <w:r>
        <w:t xml:space="preserve">FL Architect License No. AR-204871</w:t>
      </w:r>
    </w:p>
    <w:p>
      <w:pPr>
        <w:pStyle w:val="BodyText"/>
      </w:pPr>
      <w:r>
        <w:rPr>
          <w:bCs/>
          <w:b/>
        </w:rPr>
        <w:t xml:space="preserve">Prepared For (Client):</w:t>
      </w:r>
      <w:r>
        <w:br/>
      </w:r>
      <w:r>
        <w:t xml:space="preserve">Mr. Alejandro R. Castellanos</w:t>
      </w:r>
      <w:r>
        <w:br/>
      </w:r>
      <w:r>
        <w:t xml:space="preserve">1847 Coral Way, Unit 3B</w:t>
      </w:r>
      <w:r>
        <w:br/>
      </w:r>
      <w:r>
        <w:t xml:space="preserve">Miami, Florida 33145</w:t>
      </w:r>
      <w:r>
        <w:br/>
      </w:r>
      <w:r>
        <w:t xml:space="preserve">United States</w:t>
      </w:r>
      <w:r>
        <w:br/>
      </w:r>
      <w:r>
        <w:t xml:space="preserve">Tel: (305) 555-0923</w:t>
      </w:r>
      <w:r>
        <w:br/>
      </w:r>
      <w:r>
        <w:t xml:space="preserve">Email: a.castellanos@email.com</w:t>
      </w:r>
    </w:p>
    <w:p>
      <w:pPr>
        <w:pStyle w:val="BodyText"/>
      </w:pPr>
      <w:r>
        <w:t xml:space="preserve">This</w:t>
      </w:r>
      <w:r>
        <w:t xml:space="preserve"> </w:t>
      </w:r>
      <w:r>
        <w:t xml:space="preserve">Quotation Estimate</w:t>
      </w:r>
      <w:r>
        <w:t xml:space="preserve"> </w:t>
      </w:r>
      <w:r>
        <w:t xml:space="preserve">is issued by Biscayne Bay Architectural Group, LLC, a licensed</w:t>
      </w:r>
      <w:r>
        <w:t xml:space="preserve"> </w:t>
      </w:r>
      <w:r>
        <w:t xml:space="preserve">Architect</w:t>
      </w:r>
      <w:r>
        <w:t xml:space="preserve"> </w:t>
      </w:r>
      <w:r>
        <w:t xml:space="preserve">practice operating in</w:t>
      </w:r>
      <w:r>
        <w:t xml:space="preserve"> </w:t>
      </w:r>
      <w:r>
        <w:t xml:space="preserve">United States Miami</w:t>
      </w:r>
      <w:r>
        <w:t xml:space="preserve">, Florida, in response to the client's request for comprehensive architectural design and consulting services for a residential renovation project located in the Coral Gables district of Miami, United States. This document constitutes a formal</w:t>
      </w:r>
      <w:r>
        <w:t xml:space="preserve"> </w:t>
      </w:r>
      <w:r>
        <w:t xml:space="preserve">Quotation Estimate</w:t>
      </w:r>
      <w:r>
        <w:t xml:space="preserve"> </w:t>
      </w:r>
      <w:r>
        <w:t xml:space="preserve">detailing the scope of work, professional fees, and associated costs for the engagement of our</w:t>
      </w:r>
      <w:r>
        <w:t xml:space="preserve"> </w:t>
      </w:r>
      <w:r>
        <w:t xml:space="preserve">Architect</w:t>
      </w:r>
      <w:r>
        <w:t xml:space="preserve"> </w:t>
      </w:r>
      <w:r>
        <w:t xml:space="preserve">team.</w:t>
      </w:r>
    </w:p>
    <w:bookmarkStart w:id="21" w:name="project-description"/>
    <w:p>
      <w:pPr>
        <w:pStyle w:val="Heading2"/>
      </w:pPr>
      <w:r>
        <w:t xml:space="preserve">1. Project Description</w:t>
      </w:r>
    </w:p>
    <w:p>
      <w:pPr>
        <w:pStyle w:val="FirstParagraph"/>
      </w:pPr>
      <w:r>
        <w:t xml:space="preserve">The subject project involves the full architectural redesign and renovation of a 4,200 square-foot single-family residence situated at 1847 Coral Way, Miami, United States. The</w:t>
      </w:r>
      <w:r>
        <w:t xml:space="preserve"> </w:t>
      </w:r>
      <w:r>
        <w:t xml:space="preserve">Architect</w:t>
      </w:r>
      <w:r>
        <w:t xml:space="preserve"> </w:t>
      </w:r>
      <w:r>
        <w:t xml:space="preserve">firm will provide end-to-end design services, including conceptual planning, schematic design, design development, construction documentation, and construction-phase observation, all in compliance with the Miami-Dade County Building Code, the Florida Building Code (FBC), and all applicable United States federal and state regulations governing architectural practice in Miami.</w:t>
      </w:r>
    </w:p>
    <w:bookmarkEnd w:id="21"/>
    <w:bookmarkStart w:id="22" w:name="scope-of-architect-services"/>
    <w:p>
      <w:pPr>
        <w:pStyle w:val="Heading2"/>
      </w:pPr>
      <w:r>
        <w:t xml:space="preserve">2. Scope of Architect Services</w:t>
      </w:r>
    </w:p>
    <w:p>
      <w:pPr>
        <w:pStyle w:val="FirstParagraph"/>
      </w:pPr>
      <w:r>
        <w:t xml:space="preserve">The following services are included in this</w:t>
      </w:r>
      <w:r>
        <w:t xml:space="preserve"> </w:t>
      </w:r>
      <w:r>
        <w:t xml:space="preserve">Quotation Estimate</w:t>
      </w:r>
      <w:r>
        <w:t xml:space="preserve"> </w:t>
      </w:r>
      <w:r>
        <w:t xml:space="preserve">for the</w:t>
      </w:r>
      <w:r>
        <w:t xml:space="preserve"> </w:t>
      </w:r>
      <w:r>
        <w:t xml:space="preserve">Architect</w:t>
      </w:r>
      <w:r>
        <w:t xml:space="preserve"> </w:t>
      </w:r>
      <w:r>
        <w:t xml:space="preserve">engagement in United States Miami:</w:t>
      </w:r>
    </w:p>
    <w:p>
      <w:pPr>
        <w:numPr>
          <w:ilvl w:val="0"/>
          <w:numId w:val="1001"/>
        </w:numPr>
        <w:pStyle w:val="Compact"/>
      </w:pPr>
      <w:r>
        <w:t xml:space="preserve">Initial site assessment and feasibility study conducted on-site in Miami, Florida, United States.</w:t>
      </w:r>
    </w:p>
    <w:p>
      <w:pPr>
        <w:numPr>
          <w:ilvl w:val="0"/>
          <w:numId w:val="1001"/>
        </w:numPr>
        <w:pStyle w:val="Compact"/>
      </w:pPr>
      <w:r>
        <w:t xml:space="preserve">Conceptual design development including three (3) alternative design proposals with 3D renderings.</w:t>
      </w:r>
    </w:p>
    <w:p>
      <w:pPr>
        <w:numPr>
          <w:ilvl w:val="0"/>
          <w:numId w:val="1001"/>
        </w:numPr>
        <w:pStyle w:val="Compact"/>
      </w:pPr>
      <w:r>
        <w:t xml:space="preserve">Schematic design phase with floor plans, elevations, and site plans tailored to Miami's tropical climate and hurricane-resistance requirements.</w:t>
      </w:r>
    </w:p>
    <w:p>
      <w:pPr>
        <w:numPr>
          <w:ilvl w:val="0"/>
          <w:numId w:val="1001"/>
        </w:numPr>
        <w:pStyle w:val="Compact"/>
      </w:pPr>
      <w:r>
        <w:t xml:space="preserve">Design development phase incorporating structural, mechanical, electrical, and plumbing (MEP) coordination.</w:t>
      </w:r>
    </w:p>
    <w:p>
      <w:pPr>
        <w:numPr>
          <w:ilvl w:val="0"/>
          <w:numId w:val="1001"/>
        </w:numPr>
        <w:pStyle w:val="Compact"/>
      </w:pPr>
      <w:r>
        <w:t xml:space="preserve">Full construction documentation package (blueprints) suitable for submission to the Miami-Dade County Department of Building.</w:t>
      </w:r>
    </w:p>
    <w:p>
      <w:pPr>
        <w:numPr>
          <w:ilvl w:val="0"/>
          <w:numId w:val="1001"/>
        </w:numPr>
        <w:pStyle w:val="Compact"/>
      </w:pPr>
      <w:r>
        <w:t xml:space="preserve">Permit application support and coordination with local United States Miami authorities.</w:t>
      </w:r>
    </w:p>
    <w:p>
      <w:pPr>
        <w:numPr>
          <w:ilvl w:val="0"/>
          <w:numId w:val="1001"/>
        </w:numPr>
        <w:pStyle w:val="Compact"/>
      </w:pPr>
      <w:r>
        <w:t xml:space="preserve">Two (2) construction-phase observation visits per month during the active build period.</w:t>
      </w:r>
    </w:p>
    <w:p>
      <w:pPr>
        <w:numPr>
          <w:ilvl w:val="0"/>
          <w:numId w:val="1001"/>
        </w:numPr>
        <w:pStyle w:val="Compact"/>
      </w:pPr>
      <w:r>
        <w:t xml:space="preserve">Final punch-list inspection and certificate of substantial completion.</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Estimated Cost (USD)</w:t>
            </w:r>
          </w:p>
        </w:tc>
      </w:tr>
      <w:tr>
        <w:tc>
          <w:tcPr/>
          <w:p>
            <w:pPr>
              <w:pStyle w:val="Compact"/>
              <w:jc w:val="left"/>
            </w:pPr>
            <w:r>
              <w:t xml:space="preserve">1</w:t>
            </w:r>
          </w:p>
        </w:tc>
        <w:tc>
          <w:tcPr/>
          <w:p>
            <w:pPr>
              <w:pStyle w:val="Compact"/>
              <w:jc w:val="left"/>
            </w:pPr>
            <w:r>
              <w:t xml:space="preserve">Site Assessment &amp; Feasibility Study (Miami, FL, United States)</w:t>
            </w:r>
          </w:p>
        </w:tc>
        <w:tc>
          <w:tcPr/>
          <w:p>
            <w:pPr>
              <w:pStyle w:val="Compact"/>
              <w:jc w:val="left"/>
            </w:pPr>
            <w:r>
              <w:t xml:space="preserve">1 week</w:t>
            </w:r>
          </w:p>
        </w:tc>
        <w:tc>
          <w:tcPr/>
          <w:p>
            <w:pPr>
              <w:pStyle w:val="Compact"/>
              <w:jc w:val="left"/>
            </w:pPr>
            <w:r>
              <w:t xml:space="preserve">$4,500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Conceptual Design &amp; 3D Visualization (3 proposals)</w:t>
            </w:r>
          </w:p>
        </w:tc>
        <w:tc>
          <w:tcPr/>
          <w:p>
            <w:pPr>
              <w:pStyle w:val="Compact"/>
              <w:jc w:val="left"/>
            </w:pPr>
            <w:r>
              <w:t xml:space="preserve">4 weeks</w:t>
            </w:r>
          </w:p>
        </w:tc>
        <w:tc>
          <w:tcPr/>
          <w:p>
            <w:pPr>
              <w:pStyle w:val="Compact"/>
              <w:jc w:val="left"/>
            </w:pPr>
            <w:r>
              <w:t xml:space="preserve">$12,000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Schematic Design Phase (plans, elevations, site layout)</w:t>
            </w:r>
          </w:p>
        </w:tc>
        <w:tc>
          <w:tcPr/>
          <w:p>
            <w:pPr>
              <w:pStyle w:val="Compact"/>
              <w:jc w:val="left"/>
            </w:pPr>
            <w:r>
              <w:t xml:space="preserve">5 weeks</w:t>
            </w:r>
          </w:p>
        </w:tc>
        <w:tc>
          <w:tcPr/>
          <w:p>
            <w:pPr>
              <w:pStyle w:val="Compact"/>
              <w:jc w:val="left"/>
            </w:pPr>
            <w:r>
              <w:t xml:space="preserve">$18,500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Design Development &amp; MEP Coordination</w:t>
            </w:r>
          </w:p>
        </w:tc>
        <w:tc>
          <w:tcPr/>
          <w:p>
            <w:pPr>
              <w:pStyle w:val="Compact"/>
              <w:jc w:val="left"/>
            </w:pPr>
            <w:r>
              <w:t xml:space="preserve">6 weeks</w:t>
            </w:r>
          </w:p>
        </w:tc>
        <w:tc>
          <w:tcPr/>
          <w:p>
            <w:pPr>
              <w:pStyle w:val="Compact"/>
              <w:jc w:val="left"/>
            </w:pPr>
            <w:r>
              <w:t xml:space="preserve">$22,000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Construction Documentation &amp; Permit Package</w:t>
            </w:r>
          </w:p>
        </w:tc>
        <w:tc>
          <w:tcPr/>
          <w:p>
            <w:pPr>
              <w:pStyle w:val="Compact"/>
              <w:jc w:val="left"/>
            </w:pPr>
            <w:r>
              <w:t xml:space="preserve">8 weeks</w:t>
            </w:r>
          </w:p>
        </w:tc>
        <w:tc>
          <w:tcPr/>
          <w:p>
            <w:pPr>
              <w:pStyle w:val="Compact"/>
              <w:jc w:val="left"/>
            </w:pPr>
            <w:r>
              <w:t xml:space="preserve">$35,000</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Permit Filing &amp; Authority Coordination (Miami-Dade County)</w:t>
            </w:r>
          </w:p>
        </w:tc>
        <w:tc>
          <w:tcPr/>
          <w:p>
            <w:pPr>
              <w:pStyle w:val="Compact"/>
              <w:jc w:val="left"/>
            </w:pPr>
            <w:r>
              <w:t xml:space="preserve">3 weeks</w:t>
            </w:r>
          </w:p>
        </w:tc>
        <w:tc>
          <w:tcPr/>
          <w:p>
            <w:pPr>
              <w:pStyle w:val="Compact"/>
              <w:jc w:val="left"/>
            </w:pPr>
            <w:r>
              <w:t xml:space="preserve">$3,200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Construction Phase Observation (12 months, 2 visits/month)</w:t>
            </w:r>
          </w:p>
        </w:tc>
        <w:tc>
          <w:tcPr/>
          <w:p>
            <w:pPr>
              <w:pStyle w:val="Compact"/>
              <w:jc w:val="left"/>
            </w:pPr>
            <w:r>
              <w:t xml:space="preserve">12 months</w:t>
            </w:r>
          </w:p>
        </w:tc>
        <w:tc>
          <w:tcPr/>
          <w:p>
            <w:pPr>
              <w:pStyle w:val="Compact"/>
              <w:jc w:val="left"/>
            </w:pPr>
            <w:r>
              <w:t xml:space="preserve">$2,800/mo</w:t>
            </w:r>
          </w:p>
        </w:tc>
        <w:tc>
          <w:tcPr/>
          <w:p>
            <w:pPr>
              <w:pStyle w:val="Compact"/>
              <w:jc w:val="left"/>
            </w:pPr>
            <w:r>
              <w:t xml:space="preserve">$33,600.00</w:t>
            </w:r>
          </w:p>
        </w:tc>
      </w:tr>
      <w:tr>
        <w:tc>
          <w:tcPr/>
          <w:p>
            <w:pPr>
              <w:pStyle w:val="Compact"/>
              <w:jc w:val="left"/>
            </w:pPr>
            <w:r>
              <w:t xml:space="preserve">8</w:t>
            </w:r>
          </w:p>
        </w:tc>
        <w:tc>
          <w:tcPr/>
          <w:p>
            <w:pPr>
              <w:pStyle w:val="Compact"/>
              <w:jc w:val="left"/>
            </w:pPr>
            <w:r>
              <w:t xml:space="preserve">Final Inspection &amp; Substantial Completion Certificate</w:t>
            </w:r>
          </w:p>
        </w:tc>
        <w:tc>
          <w:tcPr/>
          <w:p>
            <w:pPr>
              <w:pStyle w:val="Compact"/>
              <w:jc w:val="left"/>
            </w:pPr>
            <w:r>
              <w:t xml:space="preserve">1 week</w:t>
            </w:r>
          </w:p>
        </w:tc>
        <w:tc>
          <w:tcPr/>
          <w:p>
            <w:pPr>
              <w:pStyle w:val="Compact"/>
              <w:jc w:val="left"/>
            </w:pPr>
            <w:r>
              <w:t xml:space="preserve">$2,500</w:t>
            </w:r>
          </w:p>
        </w:tc>
        <w:tc>
          <w:tcPr/>
          <w:p>
            <w:pPr>
              <w:pStyle w:val="Compact"/>
              <w:jc w:val="left"/>
            </w:pPr>
            <w:r>
              <w:t xml:space="preserve">$2,500.00</w:t>
            </w:r>
          </w:p>
        </w:tc>
      </w:tr>
      <w:tr>
        <w:tc>
          <w:tcPr/>
          <w:p>
            <w:pPr>
              <w:pStyle w:val="Compact"/>
              <w:jc w:val="left"/>
            </w:pPr>
            <w:r>
              <w:t xml:space="preserve">9</w:t>
            </w:r>
          </w:p>
        </w:tc>
        <w:tc>
          <w:tcPr/>
          <w:p>
            <w:pPr>
              <w:pStyle w:val="Compact"/>
              <w:jc w:val="left"/>
            </w:pPr>
            <w:r>
              <w:t xml:space="preserve">Revisions (up to 3 rounds per phase, included)</w:t>
            </w:r>
          </w:p>
        </w:tc>
        <w:tc>
          <w:tcPr/>
          <w:p>
            <w:pPr>
              <w:pStyle w:val="Compact"/>
              <w:jc w:val="left"/>
            </w:pPr>
            <w:r>
              <w:t xml:space="preserve">—</w:t>
            </w:r>
          </w:p>
        </w:tc>
        <w:tc>
          <w:tcPr/>
          <w:p>
            <w:pPr>
              <w:pStyle w:val="Compact"/>
              <w:jc w:val="left"/>
            </w:pPr>
            <w:r>
              <w:t xml:space="preserve">Included</w:t>
            </w:r>
          </w:p>
        </w:tc>
        <w:tc>
          <w:tcPr/>
          <w:p>
            <w:pPr>
              <w:pStyle w:val="Compact"/>
              <w:jc w:val="left"/>
            </w:pPr>
            <w:r>
              <w:t xml:space="preserve">$0.00</w:t>
            </w:r>
          </w:p>
        </w:tc>
      </w:tr>
      <w:tr>
        <w:tc>
          <w:tcPr/>
          <w:p>
            <w:pPr>
              <w:pStyle w:val="Compact"/>
              <w:jc w:val="left"/>
            </w:pPr>
            <w:r>
              <w:t xml:space="preserve">10</w:t>
            </w:r>
          </w:p>
        </w:tc>
        <w:tc>
          <w:tcPr/>
          <w:p>
            <w:pPr>
              <w:pStyle w:val="Compact"/>
              <w:jc w:val="left"/>
            </w:pPr>
            <w:r>
              <w:t xml:space="preserve">Travel &amp; Local Transportation within Miami, United States</w:t>
            </w:r>
          </w:p>
        </w:tc>
        <w:tc>
          <w:tcPr/>
          <w:p>
            <w:pPr>
              <w:pStyle w:val="Compact"/>
              <w:jc w:val="left"/>
            </w:pPr>
            <w:r>
              <w:t xml:space="preserve">Project duration</w:t>
            </w:r>
          </w:p>
        </w:tc>
        <w:tc>
          <w:tcPr/>
          <w:p>
            <w:pPr>
              <w:pStyle w:val="Compact"/>
              <w:jc w:val="left"/>
            </w:pPr>
            <w:r>
              <w:t xml:space="preserve">Flat</w:t>
            </w:r>
          </w:p>
        </w:tc>
        <w:tc>
          <w:tcPr/>
          <w:p>
            <w:pPr>
              <w:pStyle w:val="Compact"/>
              <w:jc w:val="left"/>
            </w:pPr>
            <w:r>
              <w:t xml:space="preserve">$1,800.00</w:t>
            </w:r>
          </w:p>
        </w:tc>
      </w:tr>
      <w:tr>
        <w:tc>
          <w:tcPr>
            <w:gridSpan w:val="4"/>
          </w:tcPr>
          <w:p>
            <w:pPr>
              <w:pStyle w:val="Compact"/>
              <w:jc w:val="right"/>
            </w:pPr>
            <w:r>
              <w:t xml:space="preserve">Subtotal (Professional Fees)</w:t>
            </w:r>
          </w:p>
        </w:tc>
        <w:tc>
          <w:tcPr/>
          <w:p>
            <w:pPr>
              <w:pStyle w:val="Compact"/>
              <w:jc w:val="left"/>
            </w:pPr>
            <w:r>
              <w:t xml:space="preserve">$133,100.00</w:t>
            </w:r>
          </w:p>
        </w:tc>
      </w:tr>
      <w:tr>
        <w:tc>
          <w:tcPr>
            <w:gridSpan w:val="4"/>
          </w:tcPr>
          <w:p>
            <w:pPr>
              <w:pStyle w:val="Compact"/>
              <w:jc w:val="right"/>
            </w:pPr>
            <w:r>
              <w:t xml:space="preserve">Florida State Sales Tax (7%)</w:t>
            </w:r>
          </w:p>
        </w:tc>
        <w:tc>
          <w:tcPr/>
          <w:p>
            <w:pPr>
              <w:pStyle w:val="Compact"/>
              <w:jc w:val="left"/>
            </w:pPr>
            <w:r>
              <w:t xml:space="preserve">$9,317.00</w:t>
            </w:r>
          </w:p>
        </w:tc>
      </w:tr>
      <w:tr>
        <w:tc>
          <w:tcPr>
            <w:gridSpan w:val="4"/>
          </w:tcPr>
          <w:p>
            <w:pPr>
              <w:pStyle w:val="Compact"/>
              <w:jc w:val="right"/>
            </w:pPr>
            <w:r>
              <w:t xml:space="preserve">Miami-Dade County Surcharge (1%)</w:t>
            </w:r>
          </w:p>
        </w:tc>
        <w:tc>
          <w:tcPr/>
          <w:p>
            <w:pPr>
              <w:pStyle w:val="Compact"/>
              <w:jc w:val="left"/>
            </w:pPr>
            <w:r>
              <w:t xml:space="preserve">$1,331.00</w:t>
            </w:r>
          </w:p>
        </w:tc>
      </w:tr>
      <w:tr>
        <w:tc>
          <w:tcPr>
            <w:gridSpan w:val="4"/>
          </w:tcPr>
          <w:p>
            <w:pPr>
              <w:pStyle w:val="Compact"/>
              <w:jc w:val="right"/>
            </w:pPr>
            <w:r>
              <w:t xml:space="preserve">TOTAL QUOTATION ESTIMATE (USD)</w:t>
            </w:r>
          </w:p>
        </w:tc>
        <w:tc>
          <w:tcPr/>
          <w:p>
            <w:pPr>
              <w:pStyle w:val="Compact"/>
              <w:jc w:val="left"/>
            </w:pPr>
            <w:r>
              <w:t xml:space="preserve">$143,748.00</w:t>
            </w:r>
          </w:p>
        </w:tc>
      </w:tr>
    </w:tbl>
    <w:bookmarkEnd w:id="23"/>
    <w:bookmarkStart w:id="24"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for</w:t>
      </w:r>
      <w:r>
        <w:t xml:space="preserve"> </w:t>
      </w:r>
      <w:r>
        <w:t xml:space="preserve">Architect</w:t>
      </w:r>
      <w:r>
        <w:t xml:space="preserve"> </w:t>
      </w:r>
      <w:r>
        <w:t xml:space="preserve">services in United States Miami shall be paid in the following installments:</w:t>
      </w:r>
    </w:p>
    <w:p>
      <w:pPr>
        <w:numPr>
          <w:ilvl w:val="0"/>
          <w:numId w:val="1002"/>
        </w:numPr>
        <w:pStyle w:val="Compact"/>
      </w:pPr>
      <w:r>
        <w:rPr>
          <w:bCs/>
          <w:b/>
        </w:rPr>
        <w:t xml:space="preserve">25% ($35,937.00)</w:t>
      </w:r>
      <w:r>
        <w:t xml:space="preserve"> </w:t>
      </w:r>
      <w:r>
        <w:t xml:space="preserve">— Due upon execution of the Architect Services Agreement and commencement of the project.</w:t>
      </w:r>
    </w:p>
    <w:p>
      <w:pPr>
        <w:numPr>
          <w:ilvl w:val="0"/>
          <w:numId w:val="1002"/>
        </w:numPr>
        <w:pStyle w:val="Compact"/>
      </w:pPr>
      <w:r>
        <w:rPr>
          <w:bCs/>
          <w:b/>
        </w:rPr>
        <w:t xml:space="preserve">25% ($35,937.00)</w:t>
      </w:r>
      <w:r>
        <w:t xml:space="preserve"> </w:t>
      </w:r>
      <w:r>
        <w:t xml:space="preserve">— Due upon approval of the Schematic Design phase.</w:t>
      </w:r>
    </w:p>
    <w:p>
      <w:pPr>
        <w:numPr>
          <w:ilvl w:val="0"/>
          <w:numId w:val="1002"/>
        </w:numPr>
        <w:pStyle w:val="Compact"/>
      </w:pPr>
      <w:r>
        <w:rPr>
          <w:bCs/>
          <w:b/>
        </w:rPr>
        <w:t xml:space="preserve">25% ($35,937.00)</w:t>
      </w:r>
      <w:r>
        <w:t xml:space="preserve"> </w:t>
      </w:r>
      <w:r>
        <w:t xml:space="preserve">— Due upon delivery of the complete Construction Documentation package.</w:t>
      </w:r>
    </w:p>
    <w:p>
      <w:pPr>
        <w:numPr>
          <w:ilvl w:val="0"/>
          <w:numId w:val="1002"/>
        </w:numPr>
        <w:pStyle w:val="Compact"/>
      </w:pPr>
      <w:r>
        <w:rPr>
          <w:bCs/>
          <w:b/>
        </w:rPr>
        <w:t xml:space="preserve">25% ($35,937.00)</w:t>
      </w:r>
      <w:r>
        <w:t xml:space="preserve"> </w:t>
      </w:r>
      <w:r>
        <w:t xml:space="preserve">— Due in equal monthly installments during the Construction Phase Observation period.</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sixty (60) calendar days from the date of issue. After this period, the</w:t>
      </w:r>
      <w:r>
        <w:t xml:space="preserve"> </w:t>
      </w:r>
      <w:r>
        <w:t xml:space="preserve">Architect</w:t>
      </w:r>
      <w:r>
        <w:t xml:space="preserve"> </w:t>
      </w:r>
      <w:r>
        <w:t xml:space="preserve">firm reserves the right to revise fees due to market fluctuations in United States Miami.</w:t>
      </w:r>
    </w:p>
    <w:p>
      <w:pPr>
        <w:numPr>
          <w:ilvl w:val="0"/>
          <w:numId w:val="1003"/>
        </w:numPr>
        <w:pStyle w:val="Compact"/>
      </w:pPr>
      <w:r>
        <w:t xml:space="preserve">All services described herein shall be performed by a licensed</w:t>
      </w:r>
      <w:r>
        <w:t xml:space="preserve"> </w:t>
      </w:r>
      <w:r>
        <w:t xml:space="preserve">Architect</w:t>
      </w:r>
      <w:r>
        <w:t xml:space="preserve"> </w:t>
      </w:r>
      <w:r>
        <w:t xml:space="preserve">registered with the Florida Board of Architecture and Interior Design, in full compliance with the laws of the State of Florida and the United States.</w:t>
      </w:r>
    </w:p>
    <w:p>
      <w:pPr>
        <w:numPr>
          <w:ilvl w:val="0"/>
          <w:numId w:val="1003"/>
        </w:numPr>
        <w:pStyle w:val="Compact"/>
      </w:pPr>
      <w:r>
        <w:t xml:space="preserve">The</w:t>
      </w:r>
      <w:r>
        <w:t xml:space="preserve"> </w:t>
      </w:r>
      <w:r>
        <w:t xml:space="preserve">Architect</w:t>
      </w:r>
      <w:r>
        <w:t xml:space="preserve"> </w:t>
      </w:r>
      <w:r>
        <w:t xml:space="preserve">firm shall maintain professional liability insurance with a minimum coverage of $2,000,000 per occurrence, valid throughout the project duration in Miami, United States.</w:t>
      </w:r>
    </w:p>
    <w:p>
      <w:pPr>
        <w:numPr>
          <w:ilvl w:val="0"/>
          <w:numId w:val="1003"/>
        </w:numPr>
        <w:pStyle w:val="Compact"/>
      </w:pPr>
      <w:r>
        <w:t xml:space="preserve">Any additional services, change orders, or scope modifications beyond those listed in this</w:t>
      </w:r>
      <w:r>
        <w:t xml:space="preserve"> </w:t>
      </w:r>
      <w:r>
        <w:t xml:space="preserve">Quotation Estimate</w:t>
      </w:r>
      <w:r>
        <w:t xml:space="preserve"> </w:t>
      </w:r>
      <w:r>
        <w:t xml:space="preserve">shall be subject to a separate written amendment and additional fee, to be agreed upon by both parties prior to execution.</w:t>
      </w:r>
    </w:p>
    <w:p>
      <w:pPr>
        <w:numPr>
          <w:ilvl w:val="0"/>
          <w:numId w:val="1003"/>
        </w:numPr>
        <w:pStyle w:val="Compact"/>
      </w:pPr>
      <w:r>
        <w:t xml:space="preserve">All intellectual property, drawings, and design documents produced by the</w:t>
      </w:r>
      <w:r>
        <w:t xml:space="preserve"> </w:t>
      </w:r>
      <w:r>
        <w:t xml:space="preserve">Architect</w:t>
      </w:r>
      <w:r>
        <w:t xml:space="preserve"> </w:t>
      </w:r>
      <w:r>
        <w:t xml:space="preserve">firm shall remain the property of Biscayne Bay Architectural Group, LLC until full payment of this</w:t>
      </w:r>
      <w:r>
        <w:t xml:space="preserve"> </w:t>
      </w:r>
      <w:r>
        <w:t xml:space="preserve">Quotation Estimate</w:t>
      </w:r>
      <w:r>
        <w:t xml:space="preserve"> </w:t>
      </w:r>
      <w:r>
        <w:t xml:space="preserve">is received.</w:t>
      </w:r>
    </w:p>
    <w:p>
      <w:pPr>
        <w:numPr>
          <w:ilvl w:val="0"/>
          <w:numId w:val="1003"/>
        </w:numPr>
        <w:pStyle w:val="Compact"/>
      </w:pPr>
      <w:r>
        <w:t xml:space="preserve">This engagement is governed by the laws of the State of Florida, United States. Any disputes arising from this</w:t>
      </w:r>
      <w:r>
        <w:t xml:space="preserve"> </w:t>
      </w:r>
      <w:r>
        <w:t xml:space="preserve">Quotation Estimate</w:t>
      </w:r>
      <w:r>
        <w:t xml:space="preserve"> </w:t>
      </w:r>
      <w:r>
        <w:t xml:space="preserve">or the subsequent Architect Services Agreement shall be resolved through binding arbitration in Miami-Dade County, Florida.</w:t>
      </w:r>
    </w:p>
    <w:p>
      <w:pPr>
        <w:numPr>
          <w:ilvl w:val="0"/>
          <w:numId w:val="1003"/>
        </w:numPr>
        <w:pStyle w:val="Compact"/>
      </w:pPr>
      <w:r>
        <w:t xml:space="preserve">The</w:t>
      </w:r>
      <w:r>
        <w:t xml:space="preserve"> </w:t>
      </w:r>
      <w:r>
        <w:t xml:space="preserve">Architect</w:t>
      </w:r>
      <w:r>
        <w:t xml:space="preserve"> </w:t>
      </w:r>
      <w:r>
        <w:t xml:space="preserve">firm is not responsible for construction costs, contractor performance, or third-party vendor delays. This</w:t>
      </w:r>
      <w:r>
        <w:t xml:space="preserve"> </w:t>
      </w:r>
      <w:r>
        <w:t xml:space="preserve">Quotation Estimate</w:t>
      </w:r>
      <w:r>
        <w:t xml:space="preserve"> </w:t>
      </w:r>
      <w:r>
        <w:t xml:space="preserve">covers professional architectural services only.</w:t>
      </w:r>
    </w:p>
    <w:p>
      <w:pPr>
        <w:numPr>
          <w:ilvl w:val="0"/>
          <w:numId w:val="1003"/>
        </w:numPr>
        <w:pStyle w:val="Compact"/>
      </w:pPr>
      <w:r>
        <w:t xml:space="preserve">Client shall provide timely access to the project site in Miami, United States, and all necessary information to allow the</w:t>
      </w:r>
      <w:r>
        <w:t xml:space="preserve"> </w:t>
      </w:r>
      <w:r>
        <w:t xml:space="preserve">Architect</w:t>
      </w:r>
      <w:r>
        <w:t xml:space="preserve"> </w:t>
      </w:r>
      <w:r>
        <w:t xml:space="preserve">team to proceed without undue delay.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Architect</w:t>
      </w:r>
      <w:r>
        <w:t xml:space="preserve"> </w:t>
      </w:r>
      <w:r>
        <w:t xml:space="preserve">services in United States Miami and agrees to the terms, conditions, and fees outlined herein. This signature authorizes Biscayne Bay Architectural Group, LLC to proceed with the engagement upon receipt of the initial 25% payment.</w:t>
      </w:r>
    </w:p>
    <w:p>
      <w:pPr>
        <w:pStyle w:val="BodyText"/>
      </w:pPr>
      <w:r>
        <w:rPr>
          <w:bCs/>
          <w:b/>
        </w:rPr>
        <w:t xml:space="preserve">For the Architect Firm:</w:t>
      </w:r>
    </w:p>
    <w:p>
      <w:pPr>
        <w:pStyle w:val="BodyText"/>
      </w:pPr>
      <w:r>
        <w:t xml:space="preserve">Biscayne Bay Architectural Group, LLC</w:t>
      </w:r>
    </w:p>
    <w:p>
      <w:pPr>
        <w:pStyle w:val="BodyText"/>
      </w:pPr>
      <w:r>
        <w:rPr>
          <w:bCs/>
          <w:b/>
        </w:rPr>
        <w:t xml:space="preserve">Dr. Elena M. Vasquez, AIA, FAIA</w:t>
      </w:r>
      <w:r>
        <w:br/>
      </w:r>
      <w:r>
        <w:t xml:space="preserve">Principal Architect, FL License AR-204871</w:t>
      </w:r>
      <w:r>
        <w:br/>
      </w:r>
      <w:r>
        <w:t xml:space="preserve">Date: _______________</w:t>
      </w:r>
    </w:p>
    <w:p>
      <w:pPr>
        <w:pStyle w:val="BodyText"/>
      </w:pPr>
      <w:r>
        <w:rPr>
          <w:bCs/>
          <w:b/>
        </w:rPr>
        <w:t xml:space="preserve">For the Client:</w:t>
      </w:r>
    </w:p>
    <w:p>
      <w:pPr>
        <w:pStyle w:val="BodyText"/>
      </w:pPr>
      <w:r>
        <w:t xml:space="preserve">Mr. Alejandro R. Castellanos</w:t>
      </w:r>
    </w:p>
    <w:p>
      <w:pPr>
        <w:pStyle w:val="BodyText"/>
      </w:pPr>
      <w:r>
        <w:rPr>
          <w:bCs/>
          <w:b/>
        </w:rPr>
        <w:t xml:space="preserve">Alejandro R. Castellanos</w:t>
      </w:r>
      <w:r>
        <w:br/>
      </w:r>
      <w:r>
        <w:t xml:space="preserve">Client / Property Owner</w:t>
      </w:r>
      <w:r>
        <w:br/>
      </w:r>
      <w:r>
        <w:t xml:space="preserve">Date: _______________</w:t>
      </w:r>
    </w:p>
    <w:p>
      <w:pPr>
        <w:pStyle w:val="BodyText"/>
      </w:pPr>
      <w:r>
        <w:t xml:space="preserve">This Quotation Estimate document was prepared by Biscayne Bay Architectural Group, LLC, a licensed Architect firm in Miami, Florida, United States. Quotation Estimate No. QTE-2025-MIA-0472. This document is confidential and intended solely for the named client. Unauthorized reproduction or distribution is prohibited under United States federal and Florida state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United States Miami</dc:title>
  <dc:creator/>
  <dc:language>en</dc:language>
  <cp:keywords/>
  <dcterms:created xsi:type="dcterms:W3CDTF">2026-10-10T01:06:29Z</dcterms:created>
  <dcterms:modified xsi:type="dcterms:W3CDTF">2026-10-10T01:06:29Z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