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New</w:t>
      </w:r>
      <w:r>
        <w:t xml:space="preserve"> </w:t>
      </w:r>
      <w:r>
        <w:t xml:space="preserve">York</w:t>
      </w:r>
      <w:r>
        <w:t xml:space="preserve"> </w:t>
      </w:r>
      <w:r>
        <w:t xml:space="preserve">City</w:t>
      </w:r>
    </w:p>
    <w:bookmarkStart w:id="20" w:name="meridian-architectural-design-group-pllc"/>
    <w:p>
      <w:pPr>
        <w:pStyle w:val="Heading1"/>
      </w:pPr>
      <w:r>
        <w:t xml:space="preserve">Meridian Architectural Design Group, PLLC</w:t>
      </w:r>
    </w:p>
    <w:p>
      <w:pPr>
        <w:pStyle w:val="FirstParagraph"/>
      </w:pPr>
      <w:r>
        <w:t xml:space="preserve">1285 Avenue of the Americas, Suite 2400, New York, NY 10020, United States</w:t>
      </w:r>
    </w:p>
    <w:p>
      <w:pPr>
        <w:pStyle w:val="BodyText"/>
      </w:pPr>
      <w:r>
        <w:t xml:space="preserve">Phone: (212) 555-0187 | Email: estimates@meridianarch.com | NY License No. A-204871</w:t>
      </w:r>
    </w:p>
    <w:bookmarkEnd w:id="20"/>
    <w:p>
      <w:pPr>
        <w:pStyle w:val="BodyText"/>
      </w:pPr>
      <w:r>
        <w:t xml:space="preserve">Quotation Estimate</w:t>
      </w:r>
    </w:p>
    <w:bookmarkStart w:id="21" w:name="document-reference"/>
    <w:p>
      <w:pPr>
        <w:pStyle w:val="Heading2"/>
      </w:pPr>
      <w:r>
        <w:t xml:space="preserve">Document Reference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Quotation Estimate No.</w:t>
            </w:r>
          </w:p>
        </w:tc>
        <w:tc>
          <w:tcPr/>
          <w:p>
            <w:pPr>
              <w:pStyle w:val="Compact"/>
              <w:jc w:val="left"/>
            </w:pPr>
            <w:r>
              <w:t xml:space="preserve">Date Issued</w:t>
            </w:r>
          </w:p>
        </w:tc>
        <w:tc>
          <w:tcPr/>
          <w:p>
            <w:pPr>
              <w:pStyle w:val="Compact"/>
              <w:jc w:val="left"/>
            </w:pPr>
            <w:r>
              <w:t xml:space="preserve">Valid Until</w:t>
            </w:r>
          </w:p>
        </w:tc>
        <w:tc>
          <w:tcPr/>
          <w:p>
            <w:pPr>
              <w:pStyle w:val="Compact"/>
              <w:jc w:val="left"/>
            </w:pPr>
            <w:r>
              <w:t xml:space="preserve">Project Location</w:t>
            </w:r>
          </w:p>
        </w:tc>
      </w:tr>
      <w:tr>
        <w:tc>
          <w:tcPr/>
          <w:p>
            <w:pPr>
              <w:pStyle w:val="Compact"/>
              <w:jc w:val="left"/>
            </w:pPr>
            <w:r>
              <w:t xml:space="preserve">QE-2025-04871</w:t>
            </w:r>
          </w:p>
        </w:tc>
        <w:tc>
          <w:tcPr/>
          <w:p>
            <w:pPr>
              <w:pStyle w:val="Compact"/>
              <w:jc w:val="left"/>
            </w:pPr>
            <w:r>
              <w:t xml:space="preserve">June 12, 2025</w:t>
            </w:r>
          </w:p>
        </w:tc>
        <w:tc>
          <w:tcPr/>
          <w:p>
            <w:pPr>
              <w:pStyle w:val="Compact"/>
              <w:jc w:val="left"/>
            </w:pPr>
            <w:r>
              <w:t xml:space="preserve">July 12, 2025</w:t>
            </w:r>
          </w:p>
        </w:tc>
        <w:tc>
          <w:tcPr/>
          <w:p>
            <w:pPr>
              <w:pStyle w:val="Compact"/>
              <w:jc w:val="left"/>
            </w:pPr>
            <w:r>
              <w:t xml:space="preserve">United States, New York City</w:t>
            </w:r>
          </w:p>
        </w:tc>
      </w:tr>
    </w:tbl>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Jonathan R. Whitfield</w:t>
      </w:r>
    </w:p>
    <w:p>
      <w:pPr>
        <w:pStyle w:val="BodyText"/>
      </w:pPr>
      <w:r>
        <w:rPr>
          <w:bCs/>
          <w:b/>
        </w:rPr>
        <w:t xml:space="preserve">Company:</w:t>
      </w:r>
      <w:r>
        <w:t xml:space="preserve"> </w:t>
      </w:r>
      <w:r>
        <w:t xml:space="preserve">Whitfield Development Partners LLC</w:t>
      </w:r>
    </w:p>
    <w:p>
      <w:pPr>
        <w:pStyle w:val="BodyText"/>
      </w:pPr>
      <w:r>
        <w:rPr>
          <w:bCs/>
          <w:b/>
        </w:rPr>
        <w:t xml:space="preserve">Address:</w:t>
      </w:r>
      <w:r>
        <w:t xml:space="preserve"> </w:t>
      </w:r>
      <w:r>
        <w:t xml:space="preserve">442 Park Avenue South, New York, NY 10016</w:t>
      </w:r>
    </w:p>
    <w:p>
      <w:pPr>
        <w:pStyle w:val="BodyText"/>
      </w:pPr>
      <w:r>
        <w:rPr>
          <w:bCs/>
          <w:b/>
        </w:rPr>
        <w:t xml:space="preserve">Contact:</w:t>
      </w:r>
      <w:r>
        <w:t xml:space="preserve"> </w:t>
      </w:r>
      <w:r>
        <w:t xml:space="preserve">(646) 555-3321 | j.whitfield@wdevpartners.com</w:t>
      </w:r>
    </w:p>
    <w:bookmarkEnd w:id="22"/>
    <w:bookmarkStart w:id="23" w:name="prepared-by-architect"/>
    <w:p>
      <w:pPr>
        <w:pStyle w:val="Heading3"/>
      </w:pPr>
      <w:r>
        <w:t xml:space="preserve">Prepared By (Architect)</w:t>
      </w:r>
    </w:p>
    <w:p>
      <w:pPr>
        <w:pStyle w:val="FirstParagraph"/>
      </w:pPr>
      <w:r>
        <w:rPr>
          <w:bCs/>
          <w:b/>
        </w:rPr>
        <w:t xml:space="preserve">Principal Architect:</w:t>
      </w:r>
      <w:r>
        <w:t xml:space="preserve"> </w:t>
      </w:r>
      <w:r>
        <w:t xml:space="preserve">Elena Vasquez, AIA, NCARB</w:t>
      </w:r>
    </w:p>
    <w:p>
      <w:pPr>
        <w:pStyle w:val="BodyText"/>
      </w:pPr>
      <w:r>
        <w:rPr>
          <w:bCs/>
          <w:b/>
        </w:rPr>
        <w:t xml:space="preserve">Firm:</w:t>
      </w:r>
      <w:r>
        <w:t xml:space="preserve"> </w:t>
      </w:r>
      <w:r>
        <w:t xml:space="preserve">Meridian Architectural Design Group, PLLC</w:t>
      </w:r>
    </w:p>
    <w:p>
      <w:pPr>
        <w:pStyle w:val="BodyText"/>
      </w:pPr>
      <w:r>
        <w:rPr>
          <w:bCs/>
          <w:b/>
        </w:rPr>
        <w:t xml:space="preserve">NY State License:</w:t>
      </w:r>
      <w:r>
        <w:t xml:space="preserve"> </w:t>
      </w:r>
      <w:r>
        <w:t xml:space="preserve">A-204871</w:t>
      </w:r>
    </w:p>
    <w:p>
      <w:pPr>
        <w:pStyle w:val="BodyText"/>
      </w:pPr>
      <w:r>
        <w:rPr>
          <w:bCs/>
          <w:b/>
        </w:rPr>
        <w:t xml:space="preserve">Contact:</w:t>
      </w:r>
      <w:r>
        <w:t xml:space="preserve"> </w:t>
      </w:r>
      <w:r>
        <w:t xml:space="preserve">(212) 555-0187 | e.vasquez@meridianarch.com</w:t>
      </w:r>
    </w:p>
    <w:bookmarkEnd w:id="23"/>
    <w:bookmarkStart w:id="24" w:name="project-description"/>
    <w:p>
      <w:pPr>
        <w:pStyle w:val="Heading2"/>
      </w:pPr>
      <w:r>
        <w:t xml:space="preserve">Project Description</w:t>
      </w:r>
    </w:p>
    <w:p>
      <w:pPr>
        <w:pStyle w:val="FirstParagraph"/>
      </w:pPr>
      <w:r>
        <w:t xml:space="preserve">This Quotation Estimate is issued by Meridian Architectural Design Group, PLLC, a licensed Architect firm operating in the United States, New York City, for the provision of comprehensive Architect services for the design, planning, and construction documentation of a mixed-use commercial and residential building located at 739 West 27th Street, Manhattan, New York, NY 10001. The project encompasses approximately 48,000 square feet of gross floor area across six stories, including ground-floor retail, three floors of office space, and two floors of residential units. All Architect deliverables shall comply with the New York City Building Code, the New York State Uniform Fire Prevention and Building Code, and all applicable zoning regulations administered by the New York City Department of Buildings (DOB) and the Department of City Planning.</w:t>
      </w:r>
    </w:p>
    <w:bookmarkEnd w:id="24"/>
    <w:bookmarkStart w:id="25" w:name="scope-of-architect-services"/>
    <w:p>
      <w:pPr>
        <w:pStyle w:val="Heading2"/>
      </w:pPr>
      <w:r>
        <w:t xml:space="preserve">Scope of Architect Services</w:t>
      </w:r>
    </w:p>
    <w:p>
      <w:pPr>
        <w:pStyle w:val="FirstParagraph"/>
      </w:pPr>
      <w:r>
        <w:t xml:space="preserve">The following Architect services are included in this Quotation Estimate. Each phase represents a distinct stage of the Architect's professional engagement in the United States, New York City: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Description of Architect Work</w:t>
            </w:r>
          </w:p>
        </w:tc>
        <w:tc>
          <w:tcPr/>
          <w:p>
            <w:pPr>
              <w:pStyle w:val="Compact"/>
              <w:jc w:val="left"/>
            </w:pPr>
            <w:r>
              <w:t xml:space="preserve">Estimated Hours</w:t>
            </w:r>
          </w:p>
        </w:tc>
        <w:tc>
          <w:tcPr/>
          <w:p>
            <w:pPr>
              <w:pStyle w:val="Compact"/>
              <w:jc w:val="left"/>
            </w:pPr>
            <w:r>
              <w:t xml:space="preserve">Rate (USD/hr)</w:t>
            </w:r>
          </w:p>
        </w:tc>
        <w:tc>
          <w:tcPr/>
          <w:p>
            <w:pPr>
              <w:pStyle w:val="Compact"/>
              <w:jc w:val="left"/>
            </w:pPr>
            <w:r>
              <w:t xml:space="preserve">Subtotal (USD)</w:t>
            </w:r>
          </w:p>
        </w:tc>
      </w:tr>
      <w:tr>
        <w:tc>
          <w:tcPr/>
          <w:p>
            <w:pPr>
              <w:pStyle w:val="Compact"/>
              <w:jc w:val="left"/>
            </w:pPr>
            <w:r>
              <w:t xml:space="preserve">1. Pre-Design &amp; Feasibility</w:t>
            </w:r>
          </w:p>
        </w:tc>
        <w:tc>
          <w:tcPr/>
          <w:p>
            <w:pPr>
              <w:pStyle w:val="Compact"/>
              <w:jc w:val="left"/>
            </w:pPr>
            <w:r>
              <w:t xml:space="preserve">Site analysis, zoning review with NYC DOB, programming, conceptual massing studies, and feasibility report for the Manhattan parcel.</w:t>
            </w:r>
          </w:p>
        </w:tc>
        <w:tc>
          <w:tcPr/>
          <w:p>
            <w:pPr>
              <w:pStyle w:val="Compact"/>
              <w:jc w:val="left"/>
            </w:pPr>
            <w:r>
              <w:t xml:space="preserve">120</w:t>
            </w:r>
          </w:p>
        </w:tc>
        <w:tc>
          <w:tcPr/>
          <w:p>
            <w:pPr>
              <w:pStyle w:val="Compact"/>
              <w:jc w:val="left"/>
            </w:pPr>
            <w:r>
              <w:t xml:space="preserve">$285</w:t>
            </w:r>
          </w:p>
        </w:tc>
        <w:tc>
          <w:tcPr/>
          <w:p>
            <w:pPr>
              <w:pStyle w:val="Compact"/>
              <w:jc w:val="left"/>
            </w:pPr>
            <w:r>
              <w:t xml:space="preserve">$34,200</w:t>
            </w:r>
          </w:p>
        </w:tc>
      </w:tr>
      <w:tr>
        <w:tc>
          <w:tcPr/>
          <w:p>
            <w:pPr>
              <w:pStyle w:val="Compact"/>
              <w:jc w:val="left"/>
            </w:pPr>
            <w:r>
              <w:t xml:space="preserve">2. Schematic Design</w:t>
            </w:r>
          </w:p>
        </w:tc>
        <w:tc>
          <w:tcPr/>
          <w:p>
            <w:pPr>
              <w:pStyle w:val="Compact"/>
              <w:jc w:val="left"/>
            </w:pPr>
            <w:r>
              <w:t xml:space="preserve">Development of schematic Architect drawings, 3D renderings, material palettes, and coordination with structural and MEP consultants for New York City compliance.</w:t>
            </w:r>
          </w:p>
        </w:tc>
        <w:tc>
          <w:tcPr/>
          <w:p>
            <w:pPr>
              <w:pStyle w:val="Compact"/>
              <w:jc w:val="left"/>
            </w:pPr>
            <w:r>
              <w:t xml:space="preserve">200</w:t>
            </w:r>
          </w:p>
        </w:tc>
        <w:tc>
          <w:tcPr/>
          <w:p>
            <w:pPr>
              <w:pStyle w:val="Compact"/>
              <w:jc w:val="left"/>
            </w:pPr>
            <w:r>
              <w:t xml:space="preserve">$295</w:t>
            </w:r>
          </w:p>
        </w:tc>
        <w:tc>
          <w:tcPr/>
          <w:p>
            <w:pPr>
              <w:pStyle w:val="Compact"/>
              <w:jc w:val="left"/>
            </w:pPr>
            <w:r>
              <w:t xml:space="preserve">$59,000</w:t>
            </w:r>
          </w:p>
        </w:tc>
      </w:tr>
      <w:tr>
        <w:tc>
          <w:tcPr/>
          <w:p>
            <w:pPr>
              <w:pStyle w:val="Compact"/>
              <w:jc w:val="left"/>
            </w:pPr>
            <w:r>
              <w:t xml:space="preserve">3. Design Development</w:t>
            </w:r>
          </w:p>
        </w:tc>
        <w:tc>
          <w:tcPr/>
          <w:p>
            <w:pPr>
              <w:pStyle w:val="Compact"/>
              <w:jc w:val="left"/>
            </w:pPr>
            <w:r>
              <w:t xml:space="preserve">Detailed Architect design development, facade engineering coordination, interior planning, and preparation of NYC Landmarks Preservation Commission submissions if applicable.</w:t>
            </w:r>
          </w:p>
        </w:tc>
        <w:tc>
          <w:tcPr/>
          <w:p>
            <w:pPr>
              <w:pStyle w:val="Compact"/>
              <w:jc w:val="left"/>
            </w:pPr>
            <w:r>
              <w:t xml:space="preserve">280</w:t>
            </w:r>
          </w:p>
        </w:tc>
        <w:tc>
          <w:tcPr/>
          <w:p>
            <w:pPr>
              <w:pStyle w:val="Compact"/>
              <w:jc w:val="left"/>
            </w:pPr>
            <w:r>
              <w:t xml:space="preserve">$305</w:t>
            </w:r>
          </w:p>
        </w:tc>
        <w:tc>
          <w:tcPr/>
          <w:p>
            <w:pPr>
              <w:pStyle w:val="Compact"/>
              <w:jc w:val="left"/>
            </w:pPr>
            <w:r>
              <w:t xml:space="preserve">$85,400</w:t>
            </w:r>
          </w:p>
        </w:tc>
      </w:tr>
      <w:tr>
        <w:tc>
          <w:tcPr/>
          <w:p>
            <w:pPr>
              <w:pStyle w:val="Compact"/>
              <w:jc w:val="left"/>
            </w:pPr>
            <w:r>
              <w:t xml:space="preserve">4. Construction Documents</w:t>
            </w:r>
          </w:p>
        </w:tc>
        <w:tc>
          <w:tcPr/>
          <w:p>
            <w:pPr>
              <w:pStyle w:val="Compact"/>
              <w:jc w:val="left"/>
            </w:pPr>
            <w:r>
              <w:t xml:space="preserve">Full set of Architect construction drawings, specifications, and permit submittal package for New York City DOB review and approval.</w:t>
            </w:r>
          </w:p>
        </w:tc>
        <w:tc>
          <w:tcPr/>
          <w:p>
            <w:pPr>
              <w:pStyle w:val="Compact"/>
              <w:jc w:val="left"/>
            </w:pPr>
            <w:r>
              <w:t xml:space="preserve">450</w:t>
            </w:r>
          </w:p>
        </w:tc>
        <w:tc>
          <w:tcPr/>
          <w:p>
            <w:pPr>
              <w:pStyle w:val="Compact"/>
              <w:jc w:val="left"/>
            </w:pPr>
            <w:r>
              <w:t xml:space="preserve">$315</w:t>
            </w:r>
          </w:p>
        </w:tc>
        <w:tc>
          <w:tcPr/>
          <w:p>
            <w:pPr>
              <w:pStyle w:val="Compact"/>
              <w:jc w:val="left"/>
            </w:pPr>
            <w:r>
              <w:t xml:space="preserve">$141,750</w:t>
            </w:r>
          </w:p>
        </w:tc>
      </w:tr>
      <w:tr>
        <w:tc>
          <w:tcPr/>
          <w:p>
            <w:pPr>
              <w:pStyle w:val="Compact"/>
              <w:jc w:val="left"/>
            </w:pPr>
            <w:r>
              <w:t xml:space="preserve">5. Bidding &amp; Negotiation</w:t>
            </w:r>
          </w:p>
        </w:tc>
        <w:tc>
          <w:tcPr/>
          <w:p>
            <w:pPr>
              <w:pStyle w:val="Compact"/>
              <w:jc w:val="left"/>
            </w:pPr>
            <w:r>
              <w:t xml:space="preserve">Assistance in preparing bid documents, reviewing contractor proposals, and advising the client on Architect scope during the New York City procurement process.</w:t>
            </w:r>
          </w:p>
        </w:tc>
        <w:tc>
          <w:tcPr/>
          <w:p>
            <w:pPr>
              <w:pStyle w:val="Compact"/>
              <w:jc w:val="left"/>
            </w:pPr>
            <w:r>
              <w:t xml:space="preserve">80</w:t>
            </w:r>
          </w:p>
        </w:tc>
        <w:tc>
          <w:tcPr/>
          <w:p>
            <w:pPr>
              <w:pStyle w:val="Compact"/>
              <w:jc w:val="left"/>
            </w:pPr>
            <w:r>
              <w:t xml:space="preserve">$320</w:t>
            </w:r>
          </w:p>
        </w:tc>
        <w:tc>
          <w:tcPr/>
          <w:p>
            <w:pPr>
              <w:pStyle w:val="Compact"/>
              <w:jc w:val="left"/>
            </w:pPr>
            <w:r>
              <w:t xml:space="preserve">$25,600</w:t>
            </w:r>
          </w:p>
        </w:tc>
      </w:tr>
      <w:tr>
        <w:tc>
          <w:tcPr/>
          <w:p>
            <w:pPr>
              <w:pStyle w:val="Compact"/>
              <w:jc w:val="left"/>
            </w:pPr>
            <w:r>
              <w:t xml:space="preserve">6. Construction Administration</w:t>
            </w:r>
          </w:p>
        </w:tc>
        <w:tc>
          <w:tcPr/>
          <w:p>
            <w:pPr>
              <w:pStyle w:val="Compact"/>
              <w:jc w:val="left"/>
            </w:pPr>
            <w:r>
              <w:t xml:space="preserve">Site observation visits (bi-weekly), review of shop drawings, RFI responses, and Architect certification of progress payments throughout the New York City construction period.</w:t>
            </w:r>
          </w:p>
        </w:tc>
        <w:tc>
          <w:tcPr/>
          <w:p>
            <w:pPr>
              <w:pStyle w:val="Compact"/>
              <w:jc w:val="left"/>
            </w:pPr>
            <w:r>
              <w:t xml:space="preserve">350</w:t>
            </w:r>
          </w:p>
        </w:tc>
        <w:tc>
          <w:tcPr/>
          <w:p>
            <w:pPr>
              <w:pStyle w:val="Compact"/>
              <w:jc w:val="left"/>
            </w:pPr>
            <w:r>
              <w:t xml:space="preserve">$325</w:t>
            </w:r>
          </w:p>
        </w:tc>
        <w:tc>
          <w:tcPr/>
          <w:p>
            <w:pPr>
              <w:pStyle w:val="Compact"/>
              <w:jc w:val="left"/>
            </w:pPr>
            <w:r>
              <w:t xml:space="preserve">$113,750</w:t>
            </w:r>
          </w:p>
        </w:tc>
      </w:tr>
    </w:tbl>
    <w:bookmarkEnd w:id="25"/>
    <w:bookmarkStart w:id="26" w:name="additional-costs-allowances"/>
    <w:p>
      <w:pPr>
        <w:pStyle w:val="Heading2"/>
      </w:pPr>
      <w:r>
        <w:t xml:space="preserve">Additional Costs &amp; Allowances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Details</w:t>
            </w:r>
          </w:p>
        </w:tc>
        <w:tc>
          <w:tcPr/>
          <w:p>
            <w:pPr>
              <w:pStyle w:val="Compact"/>
              <w:jc w:val="left"/>
            </w:pPr>
            <w:r>
              <w:t xml:space="preserve">Amount (USD)</w:t>
            </w:r>
          </w:p>
        </w:tc>
      </w:tr>
      <w:tr>
        <w:tc>
          <w:tcPr/>
          <w:p>
            <w:pPr>
              <w:pStyle w:val="Compact"/>
              <w:jc w:val="left"/>
            </w:pPr>
            <w:r>
              <w:t xml:space="preserve">NYC Permit &amp; Filing Fees</w:t>
            </w:r>
          </w:p>
        </w:tc>
        <w:tc>
          <w:tcPr/>
          <w:p>
            <w:pPr>
              <w:pStyle w:val="Compact"/>
              <w:jc w:val="left"/>
            </w:pPr>
            <w:r>
              <w:t xml:space="preserve">DOB application fees, plan review fees, and inspection fees for New York City</w:t>
            </w:r>
          </w:p>
        </w:tc>
        <w:tc>
          <w:tcPr/>
          <w:p>
            <w:pPr>
              <w:pStyle w:val="Compact"/>
              <w:jc w:val="left"/>
            </w:pPr>
            <w:r>
              <w:t xml:space="preserve">$18,500</w:t>
            </w:r>
          </w:p>
        </w:tc>
      </w:tr>
      <w:tr>
        <w:tc>
          <w:tcPr/>
          <w:p>
            <w:pPr>
              <w:pStyle w:val="Compact"/>
              <w:jc w:val="left"/>
            </w:pPr>
            <w:r>
              <w:t xml:space="preserve">Third-Party Consultants</w:t>
            </w:r>
          </w:p>
        </w:tc>
        <w:tc>
          <w:tcPr/>
          <w:p>
            <w:pPr>
              <w:pStyle w:val="Compact"/>
              <w:jc w:val="left"/>
            </w:pPr>
            <w:r>
              <w:t xml:space="preserve">Structural engineer, MEP engineer, environmental consultant, and accessibility specialist (NYC ADA compliance)</w:t>
            </w:r>
          </w:p>
        </w:tc>
        <w:tc>
          <w:tcPr/>
          <w:p>
            <w:pPr>
              <w:pStyle w:val="Compact"/>
              <w:jc w:val="left"/>
            </w:pPr>
            <w:r>
              <w:t xml:space="preserve">$42,000</w:t>
            </w:r>
          </w:p>
        </w:tc>
      </w:tr>
      <w:tr>
        <w:tc>
          <w:tcPr/>
          <w:p>
            <w:pPr>
              <w:pStyle w:val="Compact"/>
              <w:jc w:val="left"/>
            </w:pPr>
            <w:r>
              <w:t xml:space="preserve">Reproduction &amp; Printing</w:t>
            </w:r>
          </w:p>
        </w:tc>
        <w:tc>
          <w:tcPr/>
          <w:p>
            <w:pPr>
              <w:pStyle w:val="Compact"/>
              <w:jc w:val="left"/>
            </w:pPr>
            <w:r>
              <w:t xml:space="preserve">Large-format printing, digital file preparation, and courier services within New York City</w:t>
            </w:r>
          </w:p>
        </w:tc>
        <w:tc>
          <w:tcPr/>
          <w:p>
            <w:pPr>
              <w:pStyle w:val="Compact"/>
              <w:jc w:val="left"/>
            </w:pPr>
            <w:r>
              <w:t xml:space="preserve">$4,800</w:t>
            </w:r>
          </w:p>
        </w:tc>
      </w:tr>
      <w:tr>
        <w:tc>
          <w:tcPr/>
          <w:p>
            <w:pPr>
              <w:pStyle w:val="Compact"/>
              <w:jc w:val="left"/>
            </w:pPr>
            <w:r>
              <w:t xml:space="preserve">Travel &amp; Site Visits</w:t>
            </w:r>
          </w:p>
        </w:tc>
        <w:tc>
          <w:tcPr/>
          <w:p>
            <w:pPr>
              <w:pStyle w:val="Compact"/>
              <w:jc w:val="left"/>
            </w:pPr>
            <w:r>
              <w:t xml:space="preserve">Local travel within the five boroughs of New York City for site inspections</w:t>
            </w:r>
          </w:p>
        </w:tc>
        <w:tc>
          <w:tcPr/>
          <w:p>
            <w:pPr>
              <w:pStyle w:val="Compact"/>
              <w:jc w:val="left"/>
            </w:pPr>
            <w:r>
              <w:t xml:space="preserve">$3,200</w:t>
            </w:r>
          </w:p>
        </w:tc>
      </w:tr>
    </w:tbl>
    <w:bookmarkEnd w:id="26"/>
    <w:bookmarkStart w:id="27" w:name="quotation-estimate-summary"/>
    <w:p>
      <w:pPr>
        <w:pStyle w:val="Heading2"/>
      </w:pPr>
      <w:r>
        <w:t xml:space="preserve">Quotation Estimate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Amount (USD)</w:t>
            </w:r>
          </w:p>
        </w:tc>
      </w:tr>
      <w:tr>
        <w:tc>
          <w:tcPr/>
          <w:p>
            <w:pPr>
              <w:pStyle w:val="Compact"/>
              <w:jc w:val="left"/>
            </w:pPr>
            <w:r>
              <w:t xml:space="preserve">Architect Professional Services (Phases 1–6)</w:t>
            </w:r>
          </w:p>
        </w:tc>
        <w:tc>
          <w:tcPr/>
          <w:p>
            <w:pPr>
              <w:pStyle w:val="Compact"/>
              <w:jc w:val="left"/>
            </w:pPr>
            <w:r>
              <w:t xml:space="preserve">$459,700</w:t>
            </w:r>
          </w:p>
        </w:tc>
      </w:tr>
      <w:tr>
        <w:tc>
          <w:tcPr/>
          <w:p>
            <w:pPr>
              <w:pStyle w:val="Compact"/>
              <w:jc w:val="left"/>
            </w:pPr>
            <w:r>
              <w:t xml:space="preserve">Additional Costs &amp; Allowances</w:t>
            </w:r>
          </w:p>
        </w:tc>
        <w:tc>
          <w:tcPr/>
          <w:p>
            <w:pPr>
              <w:pStyle w:val="Compact"/>
              <w:jc w:val="left"/>
            </w:pPr>
            <w:r>
              <w:t xml:space="preserve">$68,500</w:t>
            </w:r>
          </w:p>
        </w:tc>
      </w:tr>
      <w:tr>
        <w:tc>
          <w:tcPr/>
          <w:p>
            <w:pPr>
              <w:pStyle w:val="Compact"/>
              <w:jc w:val="left"/>
            </w:pPr>
            <w:r>
              <w:t xml:space="preserve">Subtotal</w:t>
            </w:r>
          </w:p>
        </w:tc>
        <w:tc>
          <w:tcPr/>
          <w:p>
            <w:pPr>
              <w:pStyle w:val="Compact"/>
              <w:jc w:val="left"/>
            </w:pPr>
            <w:r>
              <w:t xml:space="preserve">$528,200</w:t>
            </w:r>
          </w:p>
        </w:tc>
      </w:tr>
      <w:tr>
        <w:tc>
          <w:tcPr/>
          <w:p>
            <w:pPr>
              <w:pStyle w:val="Compact"/>
              <w:jc w:val="left"/>
            </w:pPr>
            <w:r>
              <w:t xml:space="preserve">Applicable New York State Sales Tax (8.875%)</w:t>
            </w:r>
          </w:p>
        </w:tc>
        <w:tc>
          <w:tcPr/>
          <w:p>
            <w:pPr>
              <w:pStyle w:val="Compact"/>
              <w:jc w:val="left"/>
            </w:pPr>
            <w:r>
              <w:t xml:space="preserve">$46,878.13</w:t>
            </w:r>
          </w:p>
        </w:tc>
      </w:tr>
      <w:tr>
        <w:tc>
          <w:tcPr/>
          <w:p>
            <w:pPr>
              <w:pStyle w:val="Compact"/>
              <w:jc w:val="left"/>
            </w:pPr>
            <w:r>
              <w:t xml:space="preserve">Total Quotation Estimate Amount</w:t>
            </w:r>
          </w:p>
        </w:tc>
        <w:tc>
          <w:tcPr/>
          <w:p>
            <w:pPr>
              <w:pStyle w:val="Compact"/>
              <w:jc w:val="left"/>
            </w:pPr>
            <w:r>
              <w:t xml:space="preserve">$575,078.13</w:t>
            </w:r>
          </w:p>
        </w:tc>
      </w:tr>
    </w:tbl>
    <w:p>
      <w:pPr>
        <w:pStyle w:val="BodyText"/>
      </w:pPr>
      <w:r>
        <w:rPr>
          <w:iCs/>
          <w:i/>
        </w:rPr>
        <w:t xml:space="preserve">All amounts are quoted in United States Dollars (USD). This Quotation Estimate is valid for thirty (30) calendar days from the date of issue. Rates are subject to adjustment if the project scope changes by more than fifteen percent (15%) as determined by the Architect.</w:t>
      </w:r>
    </w:p>
    <w:bookmarkEnd w:id="27"/>
    <w:bookmarkStart w:id="28" w:name="terms-and-conditions"/>
    <w:p>
      <w:pPr>
        <w:pStyle w:val="Heading2"/>
      </w:pPr>
      <w:r>
        <w:t xml:space="preserve">Terms and Conditions</w:t>
      </w:r>
    </w:p>
    <w:p>
      <w:pPr>
        <w:numPr>
          <w:ilvl w:val="0"/>
          <w:numId w:val="1001"/>
        </w:numPr>
        <w:pStyle w:val="Compact"/>
      </w:pPr>
      <w:r>
        <w:t xml:space="preserve">This Quotation Estimate constitutes a firm offer by Meridian Architectural Design Group, PLLC, a licensed Architect firm in the State of New York, United States, for the Architect services described herein. Acceptance of this Quotation Estimate shall be governed by the New York State Education Law and the Rules of the New York State Board of Regents.</w:t>
      </w:r>
    </w:p>
    <w:p>
      <w:pPr>
        <w:numPr>
          <w:ilvl w:val="0"/>
          <w:numId w:val="1001"/>
        </w:numPr>
        <w:pStyle w:val="Compact"/>
      </w:pPr>
      <w:r>
        <w:t xml:space="preserve">Payment shall be made in accordance with the AIA B101-2017 Standard Form of the Agreement Between Owner and Architect, with progress payments due within thirty (30) days of each phase completion as certified by the Architect.</w:t>
      </w:r>
    </w:p>
    <w:p>
      <w:pPr>
        <w:numPr>
          <w:ilvl w:val="0"/>
          <w:numId w:val="1001"/>
        </w:numPr>
        <w:pStyle w:val="Compact"/>
      </w:pPr>
      <w:r>
        <w:t xml:space="preserve">The Architect shall maintain professional liability insurance of no less than $2,000,000 per occurrence, as required for Architect practice in New York City, United States.</w:t>
      </w:r>
    </w:p>
    <w:p>
      <w:pPr>
        <w:numPr>
          <w:ilvl w:val="0"/>
          <w:numId w:val="1001"/>
        </w:numPr>
        <w:pStyle w:val="Compact"/>
      </w:pPr>
      <w:r>
        <w:t xml:space="preserve">All Architect drawings, documents, and intellectual property produced under this Quotation Estimate shall remain the property of the Architect until full payment is received. The client shall receive a non-exclusive license to use the documents for the specific project in New York City.</w:t>
      </w:r>
    </w:p>
    <w:p>
      <w:pPr>
        <w:numPr>
          <w:ilvl w:val="0"/>
          <w:numId w:val="1001"/>
        </w:numPr>
        <w:pStyle w:val="Compact"/>
      </w:pPr>
      <w:r>
        <w:t xml:space="preserve">This Quotation Estimate does not include costs for demolition, excavation, or any work outside the Architect's professional scope. Any change orders must be approved in writing by both the Architect and the client prior to execution.</w:t>
      </w:r>
    </w:p>
    <w:p>
      <w:pPr>
        <w:numPr>
          <w:ilvl w:val="0"/>
          <w:numId w:val="1001"/>
        </w:numPr>
        <w:pStyle w:val="Compact"/>
      </w:pPr>
      <w:r>
        <w:t xml:space="preserve">Disputes arising from this Quotation Estimate shall be resolved under the laws of the State of New York, United States, and shall be subject to the exclusive jurisdiction of the courts located in New York County, New York City.</w:t>
      </w:r>
    </w:p>
    <w:p>
      <w:pPr>
        <w:numPr>
          <w:ilvl w:val="0"/>
          <w:numId w:val="1001"/>
        </w:numPr>
        <w:pStyle w:val="Compact"/>
      </w:pPr>
      <w:r>
        <w:t xml:space="preserve">The Architect reserves the right to withdraw this Quotation Estimate at any time prior to written acceptance by the client.</w:t>
      </w:r>
    </w:p>
    <w:bookmarkEnd w:id="28"/>
    <w:p>
      <w:pPr>
        <w:pStyle w:val="FirstParagraph"/>
      </w:pPr>
      <w:r>
        <w:rPr>
          <w:bCs/>
          <w:b/>
        </w:rPr>
        <w:t xml:space="preserve">For Meridian Architectural Design Group, PLLC</w:t>
      </w:r>
    </w:p>
    <w:p>
      <w:pPr>
        <w:pStyle w:val="BodyText"/>
      </w:pPr>
      <w:r>
        <w:t xml:space="preserve">Principal Architect</w:t>
      </w:r>
    </w:p>
    <w:p>
      <w:pPr>
        <w:pStyle w:val="BodyText"/>
      </w:pPr>
      <w:r>
        <w:t xml:space="preserve">Elena Vasquez, AIA, NCARB</w:t>
      </w:r>
    </w:p>
    <w:p>
      <w:pPr>
        <w:pStyle w:val="BodyText"/>
      </w:pPr>
      <w:r>
        <w:t xml:space="preserve">Date: ____________________</w:t>
      </w:r>
    </w:p>
    <w:p>
      <w:pPr>
        <w:pStyle w:val="BodyText"/>
      </w:pPr>
      <w:r>
        <w:rPr>
          <w:bCs/>
          <w:b/>
        </w:rPr>
        <w:t xml:space="preserve">Accepted By (Client)</w:t>
      </w:r>
    </w:p>
    <w:p>
      <w:pPr>
        <w:pStyle w:val="BodyText"/>
      </w:pPr>
      <w:r>
        <w:t xml:space="preserve">Whitfield Development Partners LLC</w:t>
      </w:r>
    </w:p>
    <w:p>
      <w:pPr>
        <w:pStyle w:val="BodyText"/>
      </w:pPr>
      <w:r>
        <w:t xml:space="preserve">Jonathan R. Whitfield</w:t>
      </w:r>
    </w:p>
    <w:p>
      <w:pPr>
        <w:pStyle w:val="BodyText"/>
      </w:pPr>
      <w:r>
        <w:t xml:space="preserve">Date: ____________________</w:t>
      </w:r>
    </w:p>
    <w:p>
      <w:pPr>
        <w:pStyle w:val="BodyText"/>
      </w:pPr>
      <w:r>
        <w:t xml:space="preserve">Meridian Architectural Design Group, PLLC | 1285 Avenue of the Americas, Suite 2400, New York, NY 10020, United States</w:t>
      </w:r>
    </w:p>
    <w:p>
      <w:pPr>
        <w:pStyle w:val="BodyText"/>
      </w:pPr>
      <w:r>
        <w:t xml:space="preserve">Quotation Estimate No. QE-2025-04871 | Page 1 of 1 |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New York City</dc:title>
  <dc:creator/>
  <dc:language>en</dc:language>
  <cp:keywords/>
  <dcterms:created xsi:type="dcterms:W3CDTF">2026-10-10T08:09:34Z</dcterms:created>
  <dcterms:modified xsi:type="dcterms:W3CDTF">2026-10-10T08:09:34Z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