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Architect Services — Uzbekistan Tashkent</w:t>
      </w:r>
    </w:p>
    <w:p>
      <w:pPr>
        <w:pStyle w:val="BodyText"/>
      </w:pPr>
      <w:r>
        <w:rPr>
          <w:bCs/>
          <w:b/>
        </w:rPr>
        <w:t xml:space="preserve">Reference No.:</w:t>
      </w:r>
      <w:r>
        <w:t xml:space="preserve"> </w:t>
      </w:r>
      <w:r>
        <w:t xml:space="preserve">QE-TK-2025-0478  | </w:t>
      </w:r>
      <w:r>
        <w:t xml:space="preserve"> </w:t>
      </w:r>
      <w:r>
        <w:rPr>
          <w:bCs/>
          <w:b/>
        </w:rPr>
        <w:t xml:space="preserve">Date Issued:</w:t>
      </w:r>
      <w:r>
        <w:t xml:space="preserve"> </w:t>
      </w:r>
      <w:r>
        <w:t xml:space="preserve">14 June 2025  | </w:t>
      </w:r>
      <w:r>
        <w:t xml:space="preserve"> </w:t>
      </w:r>
      <w:r>
        <w:rPr>
          <w:bCs/>
          <w:b/>
        </w:rPr>
        <w:t xml:space="preserve">Valid Until:</w:t>
      </w:r>
      <w:r>
        <w:t xml:space="preserve"> </w:t>
      </w:r>
      <w:r>
        <w:t xml:space="preserve">14 September 2025</w:t>
      </w:r>
    </w:p>
    <w:bookmarkEnd w:id="20"/>
    <w:p>
      <w:pPr>
        <w:pStyle w:val="BodyText"/>
      </w:pPr>
      <w:r>
        <w:rPr>
          <w:bCs/>
          <w:b/>
        </w:rPr>
        <w:t xml:space="preserve">Prepared By:</w:t>
      </w:r>
      <w:r>
        <w:br/>
      </w:r>
      <w:r>
        <w:t xml:space="preserve">Tashkent Architectural Design Bureau LLC</w:t>
      </w:r>
      <w:r>
        <w:br/>
      </w:r>
      <w:r>
        <w:t xml:space="preserve">42 Amir Temur Avenue, Tashkent 100000</w:t>
      </w:r>
      <w:r>
        <w:br/>
      </w:r>
      <w:r>
        <w:t xml:space="preserve">Republic of Uzbekistan</w:t>
      </w:r>
      <w:r>
        <w:br/>
      </w:r>
      <w:r>
        <w:t xml:space="preserve">Tel: +998 71 200 45 67</w:t>
      </w:r>
      <w:r>
        <w:br/>
      </w:r>
      <w:r>
        <w:t xml:space="preserve">Email: info@tashkentarch.uz</w:t>
      </w:r>
    </w:p>
    <w:p>
      <w:pPr>
        <w:pStyle w:val="BodyText"/>
      </w:pPr>
      <w:r>
        <w:rPr>
          <w:bCs/>
          <w:b/>
        </w:rPr>
        <w:t xml:space="preserve">Prepared For:</w:t>
      </w:r>
      <w:r>
        <w:br/>
      </w:r>
      <w:r>
        <w:t xml:space="preserve">Uzbekistan Tashkent Development Group</w:t>
      </w:r>
      <w:r>
        <w:br/>
      </w:r>
      <w:r>
        <w:t xml:space="preserve">18 Navoi Street, Tashkent 100084</w:t>
      </w:r>
      <w:r>
        <w:br/>
      </w:r>
      <w:r>
        <w:t xml:space="preserve">Republic of Uzbekistan</w:t>
      </w:r>
      <w:r>
        <w:br/>
      </w:r>
      <w:r>
        <w:t xml:space="preserve">Contact: Mr. Jasur Karimov</w:t>
      </w:r>
      <w:r>
        <w:br/>
      </w:r>
      <w:r>
        <w:t xml:space="preserve">Email: j.karimov@utdg.uz</w:t>
      </w:r>
    </w:p>
    <w:bookmarkStart w:id="21"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by Tashkent Architectural Design Bureau LLC in response to the formal request from Uzbekistan Tashkent Development Group for comprehensive</w:t>
      </w:r>
      <w:r>
        <w:t xml:space="preserve"> </w:t>
      </w:r>
      <w:r>
        <w:t xml:space="preserve">Architect</w:t>
      </w:r>
      <w:r>
        <w:t xml:space="preserve"> </w:t>
      </w:r>
      <w:r>
        <w:t xml:space="preserve">services related to the design and development of a mixed-use commercial and residential complex located in the Mirzo Ulugbek District of Tashkent, Uzbekistan. The project encompasses a total built area of approximately 12,500 square meters, including a six-story office tower, ground-level retail spaces, and a parking structure. This</w:t>
      </w:r>
      <w:r>
        <w:t xml:space="preserve"> </w:t>
      </w:r>
      <w:r>
        <w:t xml:space="preserve">Quotation Estimate</w:t>
      </w:r>
      <w:r>
        <w:t xml:space="preserve"> </w:t>
      </w:r>
      <w:r>
        <w:t xml:space="preserve">outlines the full scope of</w:t>
      </w:r>
      <w:r>
        <w:t xml:space="preserve"> </w:t>
      </w:r>
      <w:r>
        <w:t xml:space="preserve">Architect</w:t>
      </w:r>
      <w:r>
        <w:t xml:space="preserve"> </w:t>
      </w:r>
      <w:r>
        <w:t xml:space="preserve">deliverables, associated costs, timelines, and contractual terms applicable to the engagement within the jurisdiction of Uzbekistan Tashkent.</w:t>
      </w:r>
    </w:p>
    <w:bookmarkEnd w:id="21"/>
    <w:bookmarkStart w:id="22" w:name="scope-of-architect-services"/>
    <w:p>
      <w:pPr>
        <w:pStyle w:val="Heading2"/>
      </w:pPr>
      <w:r>
        <w:t xml:space="preserve">2. Scope of Architect Services</w:t>
      </w:r>
    </w:p>
    <w:p>
      <w:pPr>
        <w:pStyle w:val="FirstParagraph"/>
      </w:pPr>
      <w:r>
        <w:t xml:space="preserve">The</w:t>
      </w:r>
      <w:r>
        <w:t xml:space="preserve"> </w:t>
      </w:r>
      <w:r>
        <w:t xml:space="preserve">Architect</w:t>
      </w:r>
      <w:r>
        <w:t xml:space="preserve"> </w:t>
      </w:r>
      <w:r>
        <w:t xml:space="preserve">team at Tashkent Architectural Design Bureau LLC shall provide the following services as part of this</w:t>
      </w:r>
      <w:r>
        <w:t xml:space="preserve"> </w:t>
      </w:r>
      <w:r>
        <w:t xml:space="preserve">Quotation Estimate</w:t>
      </w:r>
      <w:r>
        <w:t xml:space="preserve">:</w:t>
      </w:r>
    </w:p>
    <w:p>
      <w:pPr>
        <w:numPr>
          <w:ilvl w:val="0"/>
          <w:numId w:val="1001"/>
        </w:numPr>
        <w:pStyle w:val="Compact"/>
      </w:pPr>
      <w:r>
        <w:rPr>
          <w:bCs/>
          <w:b/>
        </w:rPr>
        <w:t xml:space="preserve">Conceptual Design Phase:</w:t>
      </w:r>
      <w:r>
        <w:t xml:space="preserve"> </w:t>
      </w:r>
      <w:r>
        <w:t xml:space="preserve">Development of initial design concepts, massing studies, and site planning in compliance with the urban development regulations of Tashkent, Uzbekistan. This includes three (3) alternative design proposals for client review and selection.</w:t>
      </w:r>
    </w:p>
    <w:p>
      <w:pPr>
        <w:numPr>
          <w:ilvl w:val="0"/>
          <w:numId w:val="1001"/>
        </w:numPr>
        <w:pStyle w:val="Compact"/>
      </w:pPr>
      <w:r>
        <w:rPr>
          <w:bCs/>
          <w:b/>
        </w:rPr>
        <w:t xml:space="preserve">Schematic Design Phase:</w:t>
      </w:r>
      <w:r>
        <w:t xml:space="preserve"> </w:t>
      </w:r>
      <w:r>
        <w:t xml:space="preserve">Detailed development of the selected concept, including preliminary architectural drawings, material palettes, and structural coordination. All designs shall adhere to the Building Code of the Republic of Uzbekistan and local Tashkent municipal zoning requirements.</w:t>
      </w:r>
    </w:p>
    <w:p>
      <w:pPr>
        <w:numPr>
          <w:ilvl w:val="0"/>
          <w:numId w:val="1001"/>
        </w:numPr>
        <w:pStyle w:val="Compact"/>
      </w:pPr>
      <w:r>
        <w:rPr>
          <w:bCs/>
          <w:b/>
        </w:rPr>
        <w:t xml:space="preserve">Design Development Phase:</w:t>
      </w:r>
      <w:r>
        <w:t xml:space="preserve"> </w:t>
      </w:r>
      <w:r>
        <w:t xml:space="preserve">Production of comprehensive architectural drawings, interior layouts, façade elevations, and section details. The</w:t>
      </w:r>
      <w:r>
        <w:t xml:space="preserve"> </w:t>
      </w:r>
      <w:r>
        <w:t xml:space="preserve">Architect</w:t>
      </w:r>
      <w:r>
        <w:t xml:space="preserve"> </w:t>
      </w:r>
      <w:r>
        <w:t xml:space="preserve">shall coordinate with structural, mechanical, electrical, and plumbing consultants to ensure a fully integrated design package.</w:t>
      </w:r>
    </w:p>
    <w:p>
      <w:pPr>
        <w:numPr>
          <w:ilvl w:val="0"/>
          <w:numId w:val="1001"/>
        </w:numPr>
        <w:pStyle w:val="Compact"/>
      </w:pPr>
      <w:r>
        <w:rPr>
          <w:bCs/>
          <w:b/>
        </w:rPr>
        <w:t xml:space="preserve">Construction Documentation:</w:t>
      </w:r>
      <w:r>
        <w:t xml:space="preserve"> </w:t>
      </w:r>
      <w:r>
        <w:t xml:space="preserve">Preparation of full construction drawings, specifications, and technical schedules suitable for submission to the Tashkent City Construction Permit Authority and for tender purposes.</w:t>
      </w:r>
    </w:p>
    <w:p>
      <w:pPr>
        <w:numPr>
          <w:ilvl w:val="0"/>
          <w:numId w:val="1001"/>
        </w:numPr>
        <w:pStyle w:val="Compact"/>
      </w:pPr>
      <w:r>
        <w:rPr>
          <w:bCs/>
          <w:b/>
        </w:rPr>
        <w:t xml:space="preserve">Permitting and Regulatory Compliance:</w:t>
      </w:r>
      <w:r>
        <w:t xml:space="preserve"> </w:t>
      </w:r>
      <w:r>
        <w:t xml:space="preserve">The</w:t>
      </w:r>
      <w:r>
        <w:t xml:space="preserve"> </w:t>
      </w:r>
      <w:r>
        <w:t xml:space="preserve">Architect</w:t>
      </w:r>
      <w:r>
        <w:t xml:space="preserve"> </w:t>
      </w:r>
      <w:r>
        <w:t xml:space="preserve">shall manage all submissions to relevant Uzbekistan Tashkent governmental bodies, including the Ministry of Architecture and Construction of the Republic of Uzbekistan, and ensure full compliance with fire safety, accessibility, and environmental regulations.</w:t>
      </w:r>
    </w:p>
    <w:p>
      <w:pPr>
        <w:numPr>
          <w:ilvl w:val="0"/>
          <w:numId w:val="1001"/>
        </w:numPr>
        <w:pStyle w:val="Compact"/>
      </w:pPr>
      <w:r>
        <w:rPr>
          <w:bCs/>
          <w:b/>
        </w:rPr>
        <w:t xml:space="preserve">Construction Phase Services:</w:t>
      </w:r>
      <w:r>
        <w:t xml:space="preserve"> </w:t>
      </w:r>
      <w:r>
        <w:t xml:space="preserve">Site visits (minimum bi-weekly), response to contractor queries, review of shop drawings, and issuance of design clarifications throughout the construction period in Tashkent.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Conceptual Design &amp; Site Analysis (Tashkent, Uzbekistan)</w:t>
            </w:r>
          </w:p>
        </w:tc>
        <w:tc>
          <w:tcPr/>
          <w:p>
            <w:pPr>
              <w:pStyle w:val="Compact"/>
              <w:jc w:val="left"/>
            </w:pPr>
            <w:r>
              <w:t xml:space="preserve">6 weeks</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Schematic Design Development</w:t>
            </w:r>
          </w:p>
        </w:tc>
        <w:tc>
          <w:tcPr/>
          <w:p>
            <w:pPr>
              <w:pStyle w:val="Compact"/>
              <w:jc w:val="left"/>
            </w:pPr>
            <w:r>
              <w:t xml:space="preserve">8 weeks</w:t>
            </w:r>
          </w:p>
        </w:tc>
        <w:tc>
          <w:tcPr/>
          <w:p>
            <w:pPr>
              <w:pStyle w:val="Compact"/>
              <w:jc w:val="left"/>
            </w:pPr>
            <w:r>
              <w:t xml:space="preserve">$27,200</w:t>
            </w:r>
          </w:p>
        </w:tc>
      </w:tr>
      <w:tr>
        <w:tc>
          <w:tcPr/>
          <w:p>
            <w:pPr>
              <w:pStyle w:val="Compact"/>
              <w:jc w:val="left"/>
            </w:pPr>
            <w:r>
              <w:t xml:space="preserve">3</w:t>
            </w:r>
          </w:p>
        </w:tc>
        <w:tc>
          <w:tcPr/>
          <w:p>
            <w:pPr>
              <w:pStyle w:val="Compact"/>
              <w:jc w:val="left"/>
            </w:pPr>
            <w:r>
              <w:t xml:space="preserve">Design Development &amp; Multi-Disciplinary Coordination</w:t>
            </w:r>
          </w:p>
        </w:tc>
        <w:tc>
          <w:tcPr/>
          <w:p>
            <w:pPr>
              <w:pStyle w:val="Compact"/>
              <w:jc w:val="left"/>
            </w:pPr>
            <w:r>
              <w:t xml:space="preserve">10 weeks</w:t>
            </w:r>
          </w:p>
        </w:tc>
        <w:tc>
          <w:tcPr/>
          <w:p>
            <w:pPr>
              <w:pStyle w:val="Compact"/>
              <w:jc w:val="left"/>
            </w:pPr>
            <w:r>
              <w:t xml:space="preserve">$34,800</w:t>
            </w:r>
          </w:p>
        </w:tc>
      </w:tr>
      <w:tr>
        <w:tc>
          <w:tcPr/>
          <w:p>
            <w:pPr>
              <w:pStyle w:val="Compact"/>
              <w:jc w:val="left"/>
            </w:pPr>
            <w:r>
              <w:t xml:space="preserve">4</w:t>
            </w:r>
          </w:p>
        </w:tc>
        <w:tc>
          <w:tcPr/>
          <w:p>
            <w:pPr>
              <w:pStyle w:val="Compact"/>
              <w:jc w:val="left"/>
            </w:pPr>
            <w:r>
              <w:t xml:space="preserve">Construction Documentation &amp; Technical Specifications</w:t>
            </w:r>
          </w:p>
        </w:tc>
        <w:tc>
          <w:tcPr/>
          <w:p>
            <w:pPr>
              <w:pStyle w:val="Compact"/>
              <w:jc w:val="left"/>
            </w:pPr>
            <w:r>
              <w:t xml:space="preserve">12 weeks</w:t>
            </w:r>
          </w:p>
        </w:tc>
        <w:tc>
          <w:tcPr/>
          <w:p>
            <w:pPr>
              <w:pStyle w:val="Compact"/>
              <w:jc w:val="left"/>
            </w:pPr>
            <w:r>
              <w:t xml:space="preserve">$42,600</w:t>
            </w:r>
          </w:p>
        </w:tc>
      </w:tr>
      <w:tr>
        <w:tc>
          <w:tcPr/>
          <w:p>
            <w:pPr>
              <w:pStyle w:val="Compact"/>
              <w:jc w:val="left"/>
            </w:pPr>
            <w:r>
              <w:t xml:space="preserve">5</w:t>
            </w:r>
          </w:p>
        </w:tc>
        <w:tc>
          <w:tcPr/>
          <w:p>
            <w:pPr>
              <w:pStyle w:val="Compact"/>
              <w:jc w:val="left"/>
            </w:pPr>
            <w:r>
              <w:t xml:space="preserve">Permitting, Regulatory Submissions &amp; Authority Liaison (Uzbekistan Tashkent)</w:t>
            </w:r>
          </w:p>
        </w:tc>
        <w:tc>
          <w:tcPr/>
          <w:p>
            <w:pPr>
              <w:pStyle w:val="Compact"/>
              <w:jc w:val="left"/>
            </w:pPr>
            <w:r>
              <w:t xml:space="preserve">8 weeks</w:t>
            </w:r>
          </w:p>
        </w:tc>
        <w:tc>
          <w:tcPr/>
          <w:p>
            <w:pPr>
              <w:pStyle w:val="Compact"/>
              <w:jc w:val="left"/>
            </w:pPr>
            <w:r>
              <w:t xml:space="preserve">$12,400</w:t>
            </w:r>
          </w:p>
        </w:tc>
      </w:tr>
      <w:tr>
        <w:tc>
          <w:tcPr/>
          <w:p>
            <w:pPr>
              <w:pStyle w:val="Compact"/>
              <w:jc w:val="left"/>
            </w:pPr>
            <w:r>
              <w:t xml:space="preserve">6</w:t>
            </w:r>
          </w:p>
        </w:tc>
        <w:tc>
          <w:tcPr/>
          <w:p>
            <w:pPr>
              <w:pStyle w:val="Compact"/>
              <w:jc w:val="left"/>
            </w:pPr>
            <w:r>
              <w:t xml:space="preserve">Construction Phase Architectural Supervision &amp; Site Visits</w:t>
            </w:r>
          </w:p>
        </w:tc>
        <w:tc>
          <w:tcPr/>
          <w:p>
            <w:pPr>
              <w:pStyle w:val="Compact"/>
              <w:jc w:val="left"/>
            </w:pPr>
            <w:r>
              <w:t xml:space="preserve">18 months</w:t>
            </w:r>
          </w:p>
        </w:tc>
        <w:tc>
          <w:tcPr/>
          <w:p>
            <w:pPr>
              <w:pStyle w:val="Compact"/>
              <w:jc w:val="left"/>
            </w:pPr>
            <w:r>
              <w:t xml:space="preserve">$56,000</w:t>
            </w:r>
          </w:p>
        </w:tc>
      </w:tr>
      <w:tr>
        <w:tc>
          <w:tcPr/>
          <w:p>
            <w:pPr>
              <w:pStyle w:val="Compact"/>
              <w:jc w:val="left"/>
            </w:pPr>
            <w:r>
              <w:t xml:space="preserve">7</w:t>
            </w:r>
          </w:p>
        </w:tc>
        <w:tc>
          <w:tcPr/>
          <w:p>
            <w:pPr>
              <w:pStyle w:val="Compact"/>
              <w:jc w:val="left"/>
            </w:pPr>
            <w:r>
              <w:t xml:space="preserve">3D Visualization &amp; Rendering Package (12 views)</w:t>
            </w:r>
          </w:p>
        </w:tc>
        <w:tc>
          <w:tcPr/>
          <w:p>
            <w:pPr>
              <w:pStyle w:val="Compact"/>
              <w:jc w:val="left"/>
            </w:pPr>
            <w:r>
              <w:t xml:space="preserve">4 weeks</w:t>
            </w:r>
          </w:p>
        </w:tc>
        <w:tc>
          <w:tcPr/>
          <w:p>
            <w:pPr>
              <w:pStyle w:val="Compact"/>
              <w:jc w:val="left"/>
            </w:pPr>
            <w:r>
              <w:t xml:space="preserve">$8,700</w:t>
            </w:r>
          </w:p>
        </w:tc>
      </w:tr>
      <w:tr>
        <w:tc>
          <w:tcPr/>
          <w:p>
            <w:pPr>
              <w:pStyle w:val="Compact"/>
              <w:jc w:val="left"/>
            </w:pPr>
            <w:r>
              <w:t xml:space="preserve">8</w:t>
            </w:r>
          </w:p>
        </w:tc>
        <w:tc>
          <w:tcPr/>
          <w:p>
            <w:pPr>
              <w:pStyle w:val="Compact"/>
              <w:jc w:val="left"/>
            </w:pPr>
            <w:r>
              <w:t xml:space="preserve">Interior Design Concept (Lobby, Retail, Office Floors)</w:t>
            </w:r>
          </w:p>
        </w:tc>
        <w:tc>
          <w:tcPr/>
          <w:p>
            <w:pPr>
              <w:pStyle w:val="Compact"/>
              <w:jc w:val="left"/>
            </w:pPr>
            <w:r>
              <w:t xml:space="preserve">6 weeks</w:t>
            </w:r>
          </w:p>
        </w:tc>
        <w:tc>
          <w:tcPr/>
          <w:p>
            <w:pPr>
              <w:pStyle w:val="Compact"/>
              <w:jc w:val="left"/>
            </w:pPr>
            <w:r>
              <w:t xml:space="preserve">$15,300</w:t>
            </w:r>
          </w:p>
        </w:tc>
      </w:tr>
      <w:tr>
        <w:tc>
          <w:tcPr>
            <w:gridSpan w:val="3"/>
          </w:tcPr>
          <w:p>
            <w:pPr>
              <w:pStyle w:val="Compact"/>
              <w:jc w:val="left"/>
            </w:pPr>
            <w:r>
              <w:t xml:space="preserve">Subtotal</w:t>
            </w:r>
          </w:p>
        </w:tc>
        <w:tc>
          <w:tcPr/>
          <w:p>
            <w:pPr>
              <w:pStyle w:val="Compact"/>
              <w:jc w:val="left"/>
            </w:pPr>
            <w:r>
              <w:t xml:space="preserve">$215,500</w:t>
            </w:r>
          </w:p>
        </w:tc>
      </w:tr>
      <w:tr>
        <w:tc>
          <w:tcPr>
            <w:gridSpan w:val="3"/>
          </w:tcPr>
          <w:p>
            <w:pPr>
              <w:pStyle w:val="Compact"/>
              <w:jc w:val="left"/>
            </w:pPr>
            <w:r>
              <w:t xml:space="preserve">VAT (12% — Republic of Uzbekistan)</w:t>
            </w:r>
          </w:p>
        </w:tc>
        <w:tc>
          <w:tcPr/>
          <w:p>
            <w:pPr>
              <w:pStyle w:val="Compact"/>
              <w:jc w:val="left"/>
            </w:pPr>
            <w:r>
              <w:t xml:space="preserve">$25,860</w:t>
            </w:r>
          </w:p>
        </w:tc>
      </w:tr>
      <w:tr>
        <w:tc>
          <w:tcPr>
            <w:gridSpan w:val="3"/>
          </w:tcPr>
          <w:p>
            <w:pPr>
              <w:pStyle w:val="Compact"/>
              <w:jc w:val="left"/>
            </w:pPr>
            <w:r>
              <w:t xml:space="preserve">TOTAL QUOTATION ESTIMATE AMOUNT</w:t>
            </w:r>
          </w:p>
        </w:tc>
        <w:tc>
          <w:tcPr/>
          <w:p>
            <w:pPr>
              <w:pStyle w:val="Compact"/>
              <w:jc w:val="left"/>
            </w:pPr>
            <w:r>
              <w:t xml:space="preserve">$241,360</w:t>
            </w:r>
          </w:p>
        </w:tc>
      </w:tr>
    </w:tbl>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milestone-based schedule, payable within fifteen (15) business days of invoice issuance:</w:t>
      </w:r>
    </w:p>
    <w:p>
      <w:pPr>
        <w:numPr>
          <w:ilvl w:val="0"/>
          <w:numId w:val="1002"/>
        </w:numPr>
        <w:pStyle w:val="Compact"/>
      </w:pPr>
      <w:r>
        <w:rPr>
          <w:bCs/>
          <w:b/>
        </w:rPr>
        <w:t xml:space="preserve">20%</w:t>
      </w:r>
      <w:r>
        <w:t xml:space="preserve"> </w:t>
      </w:r>
      <w:r>
        <w:t xml:space="preserve">upon execution of the Architect Services Agreement (approximately $48,272)</w:t>
      </w:r>
    </w:p>
    <w:p>
      <w:pPr>
        <w:numPr>
          <w:ilvl w:val="0"/>
          <w:numId w:val="1002"/>
        </w:numPr>
        <w:pStyle w:val="Compact"/>
      </w:pPr>
      <w:r>
        <w:rPr>
          <w:bCs/>
          <w:b/>
        </w:rPr>
        <w:t xml:space="preserve">25%</w:t>
      </w:r>
      <w:r>
        <w:t xml:space="preserve"> </w:t>
      </w:r>
      <w:r>
        <w:t xml:space="preserve">upon approval of Schematic Design (approximately $60,340)</w:t>
      </w:r>
    </w:p>
    <w:p>
      <w:pPr>
        <w:numPr>
          <w:ilvl w:val="0"/>
          <w:numId w:val="1002"/>
        </w:numPr>
        <w:pStyle w:val="Compact"/>
      </w:pPr>
      <w:r>
        <w:rPr>
          <w:bCs/>
          <w:b/>
        </w:rPr>
        <w:t xml:space="preserve">25%</w:t>
      </w:r>
      <w:r>
        <w:t xml:space="preserve"> </w:t>
      </w:r>
      <w:r>
        <w:t xml:space="preserve">upon submission of Construction Documentation (approximately $60,340)</w:t>
      </w:r>
    </w:p>
    <w:p>
      <w:pPr>
        <w:numPr>
          <w:ilvl w:val="0"/>
          <w:numId w:val="1002"/>
        </w:numPr>
        <w:pStyle w:val="Compact"/>
      </w:pPr>
      <w:r>
        <w:rPr>
          <w:bCs/>
          <w:b/>
        </w:rPr>
        <w:t xml:space="preserve">20%</w:t>
      </w:r>
      <w:r>
        <w:t xml:space="preserve"> </w:t>
      </w:r>
      <w:r>
        <w:t xml:space="preserve">upon issuance of Construction Permit by Tashkent authorities (approximately $48,272)</w:t>
      </w:r>
    </w:p>
    <w:p>
      <w:pPr>
        <w:numPr>
          <w:ilvl w:val="0"/>
          <w:numId w:val="1002"/>
        </w:numPr>
        <w:pStyle w:val="Compact"/>
      </w:pPr>
      <w:r>
        <w:rPr>
          <w:bCs/>
          <w:b/>
        </w:rPr>
        <w:t xml:space="preserve">10%</w:t>
      </w:r>
      <w:r>
        <w:t xml:space="preserve"> </w:t>
      </w:r>
      <w:r>
        <w:t xml:space="preserve">upon completion of Construction Phase services (approximately $24,136)</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days from the date of issue. Beyond this period, all pricing is subject to revision based on prevailing market conditions in Uzbekistan Tashkent.</w:t>
      </w:r>
    </w:p>
    <w:p>
      <w:pPr>
        <w:numPr>
          <w:ilvl w:val="0"/>
          <w:numId w:val="1003"/>
        </w:numPr>
        <w:pStyle w:val="Compact"/>
      </w:pPr>
      <w:r>
        <w:t xml:space="preserve">All</w:t>
      </w:r>
      <w:r>
        <w:t xml:space="preserve"> </w:t>
      </w:r>
      <w:r>
        <w:t xml:space="preserve">Architect</w:t>
      </w:r>
      <w:r>
        <w:t xml:space="preserve"> </w:t>
      </w:r>
      <w:r>
        <w:t xml:space="preserve">services shall be performed in strict accordance with the laws of the Republic of Uzbekistan, the regulations of the Tashkent City Executive Committee, and the professional standards of the Uzbekistan Chamber of Architects.</w:t>
      </w:r>
    </w:p>
    <w:p>
      <w:pPr>
        <w:numPr>
          <w:ilvl w:val="0"/>
          <w:numId w:val="1003"/>
        </w:numPr>
        <w:pStyle w:val="Compact"/>
      </w:pPr>
      <w:r>
        <w:t xml:space="preserve">The</w:t>
      </w:r>
      <w:r>
        <w:t xml:space="preserve"> </w:t>
      </w:r>
      <w:r>
        <w:t xml:space="preserve">Architect</w:t>
      </w:r>
      <w:r>
        <w:t xml:space="preserve"> </w:t>
      </w:r>
      <w:r>
        <w:t xml:space="preserve">shall maintain professional liability insurance with a minimum coverage of $1,000,000 per occurrence throughout the duration of the project.</w:t>
      </w:r>
    </w:p>
    <w:p>
      <w:pPr>
        <w:numPr>
          <w:ilvl w:val="0"/>
          <w:numId w:val="1003"/>
        </w:numPr>
        <w:pStyle w:val="Compact"/>
      </w:pPr>
      <w:r>
        <w:t xml:space="preserve">Any changes to the scope of work beyond the parameters defined in this</w:t>
      </w:r>
      <w:r>
        <w:t xml:space="preserve"> </w:t>
      </w:r>
      <w:r>
        <w:t xml:space="preserve">Quotation Estimate</w:t>
      </w:r>
      <w:r>
        <w:t xml:space="preserve"> </w:t>
      </w:r>
      <w:r>
        <w:t xml:space="preserve">shall be subject to a written change order signed by both parties, with corresponding adjustments to cost and timeline.</w:t>
      </w:r>
    </w:p>
    <w:p>
      <w:pPr>
        <w:numPr>
          <w:ilvl w:val="0"/>
          <w:numId w:val="1003"/>
        </w:numPr>
        <w:pStyle w:val="Compact"/>
      </w:pPr>
      <w:r>
        <w:t xml:space="preserve">All intellectual property rights in the design documents produced by the</w:t>
      </w:r>
      <w:r>
        <w:t xml:space="preserve"> </w:t>
      </w:r>
      <w:r>
        <w:t xml:space="preserve">Architect</w:t>
      </w:r>
      <w:r>
        <w:t xml:space="preserve"> </w:t>
      </w:r>
      <w:r>
        <w:t xml:space="preserve">shall remain with Tashkent Architectural Design Bureau LLC until full payment is received. Upon final payment, the client shall receive a non-exclusive license to use the designs for the specific project in Tashkent, Uzbekistan.</w:t>
      </w:r>
    </w:p>
    <w:p>
      <w:pPr>
        <w:numPr>
          <w:ilvl w:val="0"/>
          <w:numId w:val="1003"/>
        </w:numPr>
        <w:pStyle w:val="Compact"/>
      </w:pPr>
      <w:r>
        <w:t xml:space="preserve">Disputes arising from this engagement shall be resolved through arbitration in Tashkent, Uzbekistan, in accordance with the rules of the Tashkent International Arbitration Centre.</w:t>
      </w:r>
    </w:p>
    <w:p>
      <w:pPr>
        <w:numPr>
          <w:ilvl w:val="0"/>
          <w:numId w:val="1003"/>
        </w:numPr>
        <w:pStyle w:val="Compact"/>
      </w:pPr>
      <w:r>
        <w:t xml:space="preserve">The</w:t>
      </w:r>
      <w:r>
        <w:t xml:space="preserve"> </w:t>
      </w:r>
      <w:r>
        <w:t xml:space="preserve">Architect</w:t>
      </w:r>
      <w:r>
        <w:t xml:space="preserve"> </w:t>
      </w:r>
      <w:r>
        <w:t xml:space="preserve">reserves the right to withdraw from this</w:t>
      </w:r>
      <w:r>
        <w:t xml:space="preserve"> </w:t>
      </w:r>
      <w:r>
        <w:t xml:space="preserve">Quotation Estimate</w:t>
      </w:r>
      <w:r>
        <w:t xml:space="preserve"> </w:t>
      </w:r>
      <w:r>
        <w:t xml:space="preserve">if the client fails to make payments within the stipulated timeframe, subject to a thirty (30) day written notice.</w:t>
      </w:r>
    </w:p>
    <w:bookmarkEnd w:id="25"/>
    <w:bookmarkStart w:id="26" w:name="project-timeline-summary"/>
    <w:p>
      <w:pPr>
        <w:pStyle w:val="Heading2"/>
      </w:pPr>
      <w:r>
        <w:t xml:space="preserve">6. Project Timeline Summary</w:t>
      </w:r>
    </w:p>
    <w:p>
      <w:pPr>
        <w:pStyle w:val="FirstParagraph"/>
      </w:pPr>
      <w:r>
        <w:t xml:space="preserve">The total estimated duration for all</w:t>
      </w:r>
      <w:r>
        <w:t xml:space="preserve"> </w:t>
      </w:r>
      <w:r>
        <w:t xml:space="preserve">Architect</w:t>
      </w:r>
      <w:r>
        <w:t xml:space="preserve"> </w:t>
      </w:r>
      <w:r>
        <w:t xml:space="preserve">services under this</w:t>
      </w:r>
      <w:r>
        <w:t xml:space="preserve"> </w:t>
      </w:r>
      <w:r>
        <w:t xml:space="preserve">Quotation Estimate</w:t>
      </w:r>
      <w:r>
        <w:t xml:space="preserve"> </w:t>
      </w:r>
      <w:r>
        <w:t xml:space="preserve">is approximately twenty-six (26) months from the date of contract execution, encompassing the design phases, permitting process in Uzbekistan Tashkent, and the full construction supervision period. A detailed Gantt chart and milestone schedule shall be provided as an annex to the final Architect Services Agreement.</w:t>
      </w:r>
    </w:p>
    <w:bookmarkEnd w:id="26"/>
    <w:p>
      <w:pPr>
        <w:pStyle w:val="BodyText"/>
      </w:pPr>
      <w:r>
        <w:rPr>
          <w:bCs/>
          <w:b/>
        </w:rPr>
        <w:t xml:space="preserve">For and on behalf of:</w:t>
      </w:r>
      <w:r>
        <w:br/>
      </w:r>
      <w:r>
        <w:t xml:space="preserve">Tashkent Architectural Design Bureau LLC</w:t>
      </w:r>
      <w:r>
        <w:br/>
      </w:r>
      <w:r>
        <w:br/>
      </w:r>
      <w:r>
        <w:t xml:space="preserve">______________________________</w:t>
      </w:r>
      <w:r>
        <w:br/>
      </w:r>
      <w:r>
        <w:t xml:space="preserve">Name: Dilnoza Rahimova</w:t>
      </w:r>
      <w:r>
        <w:br/>
      </w:r>
      <w:r>
        <w:t xml:space="preserve">Title: Lead Architect / Managing Director</w:t>
      </w:r>
      <w:r>
        <w:br/>
      </w:r>
      <w:r>
        <w:t xml:space="preserve">Date: _______________</w:t>
      </w:r>
    </w:p>
    <w:p>
      <w:pPr>
        <w:pStyle w:val="BodyText"/>
      </w:pPr>
      <w:r>
        <w:rPr>
          <w:bCs/>
          <w:b/>
        </w:rPr>
        <w:t xml:space="preserve">Accepted by:</w:t>
      </w:r>
      <w:r>
        <w:br/>
      </w:r>
      <w:r>
        <w:t xml:space="preserve">Uzbekistan Tashkent Development Group</w:t>
      </w:r>
      <w:r>
        <w:br/>
      </w:r>
      <w:r>
        <w:br/>
      </w:r>
      <w:r>
        <w:t xml:space="preserve">______________________________</w:t>
      </w:r>
      <w:r>
        <w:br/>
      </w:r>
      <w:r>
        <w:t xml:space="preserve">Name: Jasur Karimov</w:t>
      </w:r>
      <w:r>
        <w:br/>
      </w:r>
      <w:r>
        <w:t xml:space="preserve">Title: Project Director</w:t>
      </w:r>
      <w:r>
        <w:br/>
      </w:r>
      <w:r>
        <w:t xml:space="preserve">Date: _______________</w:t>
      </w:r>
    </w:p>
    <w:p>
      <w:pPr>
        <w:pStyle w:val="BodyText"/>
      </w:pPr>
      <w:r>
        <w:t xml:space="preserve">This Quotation Estimate document (Ref: QE-TK-2025-0478) is issued exclusively for the project described herein and is not transferable. All costs are quoted in United States Dollars (USD) and are subject to the exchange rate prevailing at the time of payment. Tashkent Architectural Design Bureau LLC — Registered in the Republic of Uzbekistan, Tashkent. License No. AR-2019-0342.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Uzbekistan Tashkent</dc:title>
  <dc:creator/>
  <dc:language>en</dc:language>
  <cp:keywords/>
  <dcterms:created xsi:type="dcterms:W3CDTF">2026-10-10T06:48:52Z</dcterms:created>
  <dcterms:modified xsi:type="dcterms:W3CDTF">2026-10-10T06:48:52Z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