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Astronomer Services — Colombia Bogotá</w:t>
      </w:r>
    </w:p>
    <w:p>
      <w:pPr>
        <w:pStyle w:val="BodyText"/>
      </w:pPr>
      <w:r>
        <w:t xml:space="preserve">REF: QTE-AST-2025-0472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Dr. Elena Restrepo Márquez — Lead Astronomer, Andean Celestial Research Group</w:t>
            </w:r>
          </w:p>
        </w:tc>
      </w:tr>
      <w:tr>
        <w:tc>
          <w:tcPr/>
          <w:p>
            <w:pPr>
              <w:pStyle w:val="Compact"/>
              <w:jc w:val="left"/>
            </w:pPr>
            <w:r>
              <w:t xml:space="preserve">Client:</w:t>
            </w:r>
          </w:p>
        </w:tc>
        <w:tc>
          <w:tcPr/>
          <w:p>
            <w:pPr>
              <w:pStyle w:val="Compact"/>
              <w:jc w:val="left"/>
            </w:pPr>
            <w:r>
              <w:t xml:space="preserve">Universidad Nacional de Colombia — Facultad de Ciencias, Bogotá, Colombia</w:t>
            </w:r>
          </w:p>
        </w:tc>
      </w:tr>
      <w:tr>
        <w:tc>
          <w:tcPr/>
          <w:p>
            <w:pPr>
              <w:pStyle w:val="Compact"/>
              <w:jc w:val="left"/>
            </w:pPr>
            <w:r>
              <w:t xml:space="preserve">Project Location:</w:t>
            </w:r>
          </w:p>
        </w:tc>
        <w:tc>
          <w:tcPr/>
          <w:p>
            <w:pPr>
              <w:pStyle w:val="Compact"/>
              <w:jc w:val="left"/>
            </w:pPr>
            <w:r>
              <w:t xml:space="preserve">Observatorio Astronómico Nacional, Colombia Bogotá — and field sites in the Andean highlands</w:t>
            </w:r>
          </w:p>
        </w:tc>
      </w:tr>
      <w:tr>
        <w:tc>
          <w:tcPr/>
          <w:p>
            <w:pPr>
              <w:pStyle w:val="Compact"/>
              <w:jc w:val="left"/>
            </w:pPr>
            <w:r>
              <w:t xml:space="preserve">Currency:</w:t>
            </w:r>
          </w:p>
        </w:tc>
        <w:tc>
          <w:tcPr/>
          <w:p>
            <w:pPr>
              <w:pStyle w:val="Compact"/>
              <w:jc w:val="left"/>
            </w:pPr>
            <w:r>
              <w:t xml:space="preserve">Colombian Peso (COP) / US Dollar (USD) equivalent</w:t>
            </w:r>
          </w:p>
        </w:tc>
      </w:tr>
    </w:tbl>
    <w:bookmarkStart w:id="21" w:name="X7b67b69760d17c76b86a29a617a58e95e3f9412"/>
    <w:p>
      <w:pPr>
        <w:pStyle w:val="Heading2"/>
      </w:pPr>
      <w:r>
        <w:t xml:space="preserve">1. Scope of Work — Astronomer Engagement in Colombia Bogotá</w:t>
      </w:r>
    </w:p>
    <w:p>
      <w:pPr>
        <w:pStyle w:val="FirstParagraph"/>
      </w:pPr>
      <w:r>
        <w:t xml:space="preserve">This Quotation Estimate is issued in response to the formal request submitted by the Facultad de Ciencias at the Universidad Nacional de Colombia for the professional engagement of a senior Astronomer to conduct a comprehensive celestial observation program, data analysis, and academic consulting within the Colombia Bogotá metropolitan area and surrounding high-altitude observation sites. The Astronomer will be responsible for designing and executing a twelve-month research program that includes spectroscopic analysis of variable stars, photometric monitoring of exoplanet transits, and the calibration of the 1.2-meter reflector telescope housed at the Observatorio Astronómico Nacional in Colombia Bogotá.</w:t>
      </w:r>
    </w:p>
    <w:p>
      <w:pPr>
        <w:pStyle w:val="BodyText"/>
      </w:pPr>
      <w:r>
        <w:t xml:space="preserve">The Astronomer will also deliver a minimum of six (6) public lectures and four (4) graduate-level seminars at the university campus in Bogotá, Colombia, covering topics in astrophysics, cosmology, and the application of machine learning to astronomical datasets. All deliverables under this Quotation Estimate are subject to the terms and conditions outlined in Section 5 below.</w:t>
      </w:r>
    </w:p>
    <w:bookmarkEnd w:id="21"/>
    <w:bookmarkStart w:id="22" w:name="itemized-services-pricing"/>
    <w:p>
      <w:pPr>
        <w:pStyle w:val="Heading2"/>
      </w:pPr>
      <w:r>
        <w:t xml:space="preserve">2. 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Senior Astronomer professional consulting — research program design, spectroscopic analysis of variable stars, and exoplanet transit photometry at the Colombia Bogotá observatory</w:t>
            </w:r>
          </w:p>
        </w:tc>
        <w:tc>
          <w:tcPr/>
          <w:p>
            <w:pPr>
              <w:pStyle w:val="Compact"/>
              <w:jc w:val="left"/>
            </w:pPr>
            <w:r>
              <w:t xml:space="preserve">12 months</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2</w:t>
            </w:r>
          </w:p>
        </w:tc>
        <w:tc>
          <w:tcPr/>
          <w:p>
            <w:pPr>
              <w:pStyle w:val="Compact"/>
              <w:jc w:val="left"/>
            </w:pPr>
            <w:r>
              <w:t xml:space="preserve">Telescope calibration and instrument maintenance oversight — 1.2-meter reflector, CCD camera systems, and adaptive optics module at the Observatorio Astronómico Nacional, Colombia Bogotá</w:t>
            </w:r>
          </w:p>
        </w:tc>
        <w:tc>
          <w:tcPr/>
          <w:p>
            <w:pPr>
              <w:pStyle w:val="Compact"/>
              <w:jc w:val="left"/>
            </w:pPr>
            <w:r>
              <w:t xml:space="preserve">12 months</w:t>
            </w:r>
          </w:p>
        </w:tc>
        <w:tc>
          <w:tcPr/>
          <w:p>
            <w:pPr>
              <w:pStyle w:val="Compact"/>
              <w:jc w:val="left"/>
            </w:pPr>
            <w:r>
              <w:t xml:space="preserve">22,000,000</w:t>
            </w:r>
          </w:p>
        </w:tc>
        <w:tc>
          <w:tcPr/>
          <w:p>
            <w:pPr>
              <w:pStyle w:val="Compact"/>
              <w:jc w:val="left"/>
            </w:pPr>
            <w:r>
              <w:t xml:space="preserve">264,000,000</w:t>
            </w:r>
          </w:p>
        </w:tc>
      </w:tr>
      <w:tr>
        <w:tc>
          <w:tcPr/>
          <w:p>
            <w:pPr>
              <w:pStyle w:val="Compact"/>
              <w:jc w:val="left"/>
            </w:pPr>
            <w:r>
              <w:t xml:space="preserve">3</w:t>
            </w:r>
          </w:p>
        </w:tc>
        <w:tc>
          <w:tcPr/>
          <w:p>
            <w:pPr>
              <w:pStyle w:val="Compact"/>
              <w:jc w:val="left"/>
            </w:pPr>
            <w:r>
              <w:t xml:space="preserve">Field observation campaigns at high-altitude sites (Serra Nevada, Chingaza) — travel, lodging, and per diem for the Astronomer and two (2) graduate assistants</w:t>
            </w:r>
          </w:p>
        </w:tc>
        <w:tc>
          <w:tcPr/>
          <w:p>
            <w:pPr>
              <w:pStyle w:val="Compact"/>
              <w:jc w:val="left"/>
            </w:pPr>
            <w:r>
              <w:t xml:space="preserve">8 trips</w:t>
            </w:r>
          </w:p>
        </w:tc>
        <w:tc>
          <w:tcPr/>
          <w:p>
            <w:pPr>
              <w:pStyle w:val="Compact"/>
              <w:jc w:val="left"/>
            </w:pPr>
            <w:r>
              <w:t xml:space="preserve">18,750,000</w:t>
            </w:r>
          </w:p>
        </w:tc>
        <w:tc>
          <w:tcPr/>
          <w:p>
            <w:pPr>
              <w:pStyle w:val="Compact"/>
              <w:jc w:val="left"/>
            </w:pPr>
            <w:r>
              <w:t xml:space="preserve">150,000,000</w:t>
            </w:r>
          </w:p>
        </w:tc>
      </w:tr>
      <w:tr>
        <w:tc>
          <w:tcPr/>
          <w:p>
            <w:pPr>
              <w:pStyle w:val="Compact"/>
              <w:jc w:val="left"/>
            </w:pPr>
            <w:r>
              <w:t xml:space="preserve">4</w:t>
            </w:r>
          </w:p>
        </w:tc>
        <w:tc>
          <w:tcPr/>
          <w:p>
            <w:pPr>
              <w:pStyle w:val="Compact"/>
              <w:jc w:val="left"/>
            </w:pPr>
            <w:r>
              <w:t xml:space="preserve">Academic lectures and graduate seminars — six (6) public lectures and four (4) advanced seminars delivered at the Bogotá, Colombia campus</w:t>
            </w:r>
          </w:p>
        </w:tc>
        <w:tc>
          <w:tcPr/>
          <w:p>
            <w:pPr>
              <w:pStyle w:val="Compact"/>
              <w:jc w:val="left"/>
            </w:pPr>
            <w:r>
              <w:t xml:space="preserve">10 sessions</w:t>
            </w:r>
          </w:p>
        </w:tc>
        <w:tc>
          <w:tcPr/>
          <w:p>
            <w:pPr>
              <w:pStyle w:val="Compact"/>
              <w:jc w:val="left"/>
            </w:pPr>
            <w:r>
              <w:t xml:space="preserve">3,200,000</w:t>
            </w:r>
          </w:p>
        </w:tc>
        <w:tc>
          <w:tcPr/>
          <w:p>
            <w:pPr>
              <w:pStyle w:val="Compact"/>
              <w:jc w:val="left"/>
            </w:pPr>
            <w:r>
              <w:t xml:space="preserve">32,000,000</w:t>
            </w:r>
          </w:p>
        </w:tc>
      </w:tr>
      <w:tr>
        <w:tc>
          <w:tcPr/>
          <w:p>
            <w:pPr>
              <w:pStyle w:val="Compact"/>
              <w:jc w:val="left"/>
            </w:pPr>
            <w:r>
              <w:t xml:space="preserve">5</w:t>
            </w:r>
          </w:p>
        </w:tc>
        <w:tc>
          <w:tcPr/>
          <w:p>
            <w:pPr>
              <w:pStyle w:val="Compact"/>
              <w:jc w:val="left"/>
            </w:pPr>
            <w:r>
              <w:t xml:space="preserve">Data processing, archival management, and publication support — preparation of three (3) peer-reviewed journal articles and one (1) technical report for the university</w:t>
            </w:r>
          </w:p>
        </w:tc>
        <w:tc>
          <w:tcPr/>
          <w:p>
            <w:pPr>
              <w:pStyle w:val="Compact"/>
              <w:jc w:val="left"/>
            </w:pPr>
            <w:r>
              <w:t xml:space="preserve">4 deliverables</w:t>
            </w:r>
          </w:p>
        </w:tc>
        <w:tc>
          <w:tcPr/>
          <w:p>
            <w:pPr>
              <w:pStyle w:val="Compact"/>
              <w:jc w:val="left"/>
            </w:pPr>
            <w:r>
              <w:t xml:space="preserve">12,500,000</w:t>
            </w:r>
          </w:p>
        </w:tc>
        <w:tc>
          <w:tcPr/>
          <w:p>
            <w:pPr>
              <w:pStyle w:val="Compact"/>
              <w:jc w:val="left"/>
            </w:pPr>
            <w:r>
              <w:t xml:space="preserve">50,000,000</w:t>
            </w:r>
          </w:p>
        </w:tc>
      </w:tr>
      <w:tr>
        <w:tc>
          <w:tcPr/>
          <w:p>
            <w:pPr>
              <w:pStyle w:val="Compact"/>
              <w:jc w:val="left"/>
            </w:pPr>
            <w:r>
              <w:t xml:space="preserve">6</w:t>
            </w:r>
          </w:p>
        </w:tc>
        <w:tc>
          <w:tcPr/>
          <w:p>
            <w:pPr>
              <w:pStyle w:val="Compact"/>
              <w:jc w:val="left"/>
            </w:pPr>
            <w:r>
              <w:t xml:space="preserve">Software licensing — IRAS, CASA, and custom Python-based astrometric pipeline for the Astronomer’s research workflow in Colombia Bogotá</w:t>
            </w:r>
          </w:p>
        </w:tc>
        <w:tc>
          <w:tcPr/>
          <w:p>
            <w:pPr>
              <w:pStyle w:val="Compact"/>
              <w:jc w:val="left"/>
            </w:pPr>
            <w:r>
              <w:t xml:space="preserve">12 months</w:t>
            </w:r>
          </w:p>
        </w:tc>
        <w:tc>
          <w:tcPr/>
          <w:p>
            <w:pPr>
              <w:pStyle w:val="Compact"/>
              <w:jc w:val="left"/>
            </w:pPr>
            <w:r>
              <w:t xml:space="preserve">8,400,000</w:t>
            </w:r>
          </w:p>
        </w:tc>
        <w:tc>
          <w:tcPr/>
          <w:p>
            <w:pPr>
              <w:pStyle w:val="Compact"/>
              <w:jc w:val="left"/>
            </w:pPr>
            <w:r>
              <w:t xml:space="preserve">100,800,000</w:t>
            </w:r>
          </w:p>
        </w:tc>
      </w:tr>
      <w:tr>
        <w:tc>
          <w:tcPr/>
          <w:p>
            <w:pPr>
              <w:pStyle w:val="Compact"/>
              <w:jc w:val="left"/>
            </w:pPr>
            <w:r>
              <w:t xml:space="preserve">7</w:t>
            </w:r>
          </w:p>
        </w:tc>
        <w:tc>
          <w:tcPr/>
          <w:p>
            <w:pPr>
              <w:pStyle w:val="Compact"/>
              <w:jc w:val="left"/>
            </w:pPr>
            <w:r>
              <w:t xml:space="preserve">Contingency and miscellaneous — equipment transport, insurance, and unforeseen operational costs within the Colombia Bogotá jurisdiction</w:t>
            </w:r>
          </w:p>
        </w:tc>
        <w:tc>
          <w:tcPr/>
          <w:p>
            <w:pPr>
              <w:pStyle w:val="Compact"/>
              <w:jc w:val="left"/>
            </w:pPr>
            <w:r>
              <w:t xml:space="preserve">Flat</w:t>
            </w:r>
          </w:p>
        </w:tc>
        <w:tc>
          <w:tcPr/>
          <w:p>
            <w:pPr>
              <w:pStyle w:val="Compact"/>
              <w:jc w:val="left"/>
            </w:pPr>
            <w:r>
              <w:t xml:space="preserve">45,000,000</w:t>
            </w:r>
          </w:p>
        </w:tc>
        <w:tc>
          <w:tcPr/>
          <w:p>
            <w:pPr>
              <w:pStyle w:val="Compact"/>
              <w:jc w:val="left"/>
            </w:pPr>
            <w:r>
              <w:t xml:space="preserve">45,000,000</w:t>
            </w:r>
          </w:p>
        </w:tc>
      </w:tr>
      <w:tr>
        <w:tc>
          <w:tcPr>
            <w:gridSpan w:val="4"/>
          </w:tcPr>
          <w:p>
            <w:pPr>
              <w:pStyle w:val="Compact"/>
              <w:jc w:val="right"/>
            </w:pPr>
            <w:r>
              <w:t xml:space="preserve">TOTAL ESTIMATED COST (COP):</w:t>
            </w:r>
          </w:p>
        </w:tc>
        <w:tc>
          <w:tcPr/>
          <w:p>
            <w:pPr>
              <w:pStyle w:val="Compact"/>
              <w:jc w:val="left"/>
            </w:pPr>
            <w:r>
              <w:t xml:space="preserve">1,223,800,000</w:t>
            </w:r>
          </w:p>
        </w:tc>
      </w:tr>
      <w:tr>
        <w:tc>
          <w:tcPr>
            <w:gridSpan w:val="4"/>
          </w:tcPr>
          <w:p>
            <w:pPr>
              <w:pStyle w:val="Compact"/>
              <w:jc w:val="right"/>
            </w:pPr>
            <w:r>
              <w:t xml:space="preserve">TOTAL ESTIMATED COST (USD approx.):</w:t>
            </w:r>
          </w:p>
        </w:tc>
        <w:tc>
          <w:tcPr/>
          <w:p>
            <w:pPr>
              <w:pStyle w:val="Compact"/>
              <w:jc w:val="left"/>
            </w:pPr>
            <w:r>
              <w:t xml:space="preserve">~312,000</w:t>
            </w:r>
          </w:p>
        </w:tc>
      </w:tr>
    </w:tbl>
    <w:bookmarkEnd w:id="22"/>
    <w:bookmarkStart w:id="23" w:name="payment-schedule"/>
    <w:p>
      <w:pPr>
        <w:pStyle w:val="Heading2"/>
      </w:pPr>
      <w:r>
        <w:t xml:space="preserve">3. Payment Schedule</w:t>
      </w:r>
    </w:p>
    <w:p>
      <w:pPr>
        <w:pStyle w:val="FirstParagraph"/>
      </w:pPr>
      <w:r>
        <w:t xml:space="preserve">Payment for the services described in this Quotation Estimate shall be made in four (4) equal quarterly installments, due on the first business day of each quarter. The first installment is due upon formal acceptance of this Quotation Estimate and execution of the service agreement. All payments shall be made via bank transfer to the account designated by the Astronomer’s registered entity in Colombia Bogotá. Late payments shall incur a monthly interest rate of 1.5% in accordance with Colombian commercial law.</w:t>
      </w:r>
    </w:p>
    <w:bookmarkEnd w:id="23"/>
    <w:bookmarkStart w:id="24" w:name="deliverables-milestones"/>
    <w:p>
      <w:pPr>
        <w:pStyle w:val="Heading2"/>
      </w:pPr>
      <w:r>
        <w:t xml:space="preserve">4. Deliverables &amp; Milestones</w:t>
      </w:r>
    </w:p>
    <w:p>
      <w:pPr>
        <w:numPr>
          <w:ilvl w:val="0"/>
          <w:numId w:val="1001"/>
        </w:numPr>
        <w:pStyle w:val="Compact"/>
      </w:pPr>
      <w:r>
        <w:rPr>
          <w:bCs/>
          <w:b/>
        </w:rPr>
        <w:t xml:space="preserve">Month 3:</w:t>
      </w:r>
      <w:r>
        <w:t xml:space="preserve"> </w:t>
      </w:r>
      <w:r>
        <w:t xml:space="preserve">Completion of initial spectroscopic survey and delivery of preliminary data report to the university committee in Bogotá, Colombia.</w:t>
      </w:r>
    </w:p>
    <w:p>
      <w:pPr>
        <w:numPr>
          <w:ilvl w:val="0"/>
          <w:numId w:val="1001"/>
        </w:numPr>
        <w:pStyle w:val="Compact"/>
      </w:pPr>
      <w:r>
        <w:rPr>
          <w:bCs/>
          <w:b/>
        </w:rPr>
        <w:t xml:space="preserve">Month 6:</w:t>
      </w:r>
      <w:r>
        <w:t xml:space="preserve"> </w:t>
      </w:r>
      <w:r>
        <w:t xml:space="preserve">Submission of the first peer-reviewed manuscript and completion of four (4) public lectures.</w:t>
      </w:r>
    </w:p>
    <w:p>
      <w:pPr>
        <w:numPr>
          <w:ilvl w:val="0"/>
          <w:numId w:val="1001"/>
        </w:numPr>
        <w:pStyle w:val="Compact"/>
      </w:pPr>
      <w:r>
        <w:rPr>
          <w:bCs/>
          <w:b/>
        </w:rPr>
        <w:t xml:space="preserve">Month 9:</w:t>
      </w:r>
      <w:r>
        <w:t xml:space="preserve"> </w:t>
      </w:r>
      <w:r>
        <w:t xml:space="preserve">Completion of all field observation campaigns and delivery of the calibrated instrument report.</w:t>
      </w:r>
    </w:p>
    <w:p>
      <w:pPr>
        <w:numPr>
          <w:ilvl w:val="0"/>
          <w:numId w:val="1001"/>
        </w:numPr>
        <w:pStyle w:val="Compact"/>
      </w:pPr>
      <w:r>
        <w:rPr>
          <w:bCs/>
          <w:b/>
        </w:rPr>
        <w:t xml:space="preserve">Month 12:</w:t>
      </w:r>
      <w:r>
        <w:t xml:space="preserve"> </w:t>
      </w:r>
      <w:r>
        <w:t xml:space="preserve">Final technical report, remaining publications, and a closing presentation to the Facultad de Ciencias in Colombia Bogotá.</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After this period, pricing may be adjusted to reflect changes in exchange rates, equipment costs, or operational conditions in Colombia Bogotá.</w:t>
      </w:r>
    </w:p>
    <w:p>
      <w:pPr>
        <w:numPr>
          <w:ilvl w:val="0"/>
          <w:numId w:val="1002"/>
        </w:numPr>
        <w:pStyle w:val="Compact"/>
      </w:pPr>
      <w:r>
        <w:t xml:space="preserve">The Astronomer retains full intellectual property rights over original research findings. The university in Bogotá, Colombia, shall receive a non-exclusive, royalty-free license to use the data for academic and educational purposes.</w:t>
      </w:r>
    </w:p>
    <w:p>
      <w:pPr>
        <w:numPr>
          <w:ilvl w:val="0"/>
          <w:numId w:val="1002"/>
        </w:numPr>
        <w:pStyle w:val="Compact"/>
      </w:pPr>
      <w:r>
        <w:t xml:space="preserve">All work shall comply with the regulations of the Ministerio de Ciencia, Tecnología e Innovación de Colombia and the applicable environmental and cultural heritage protections in the field observation zones.</w:t>
      </w:r>
    </w:p>
    <w:p>
      <w:pPr>
        <w:numPr>
          <w:ilvl w:val="0"/>
          <w:numId w:val="1002"/>
        </w:numPr>
        <w:pStyle w:val="Compact"/>
      </w:pPr>
      <w:r>
        <w:t xml:space="preserve">Either party may terminate the agreement with sixty (60) days’ written notice. In such an event, the Astronomer shall be compensated for all services rendered up to the termination date as outlined in this Quotation Estimate.</w:t>
      </w:r>
    </w:p>
    <w:p>
      <w:pPr>
        <w:numPr>
          <w:ilvl w:val="0"/>
          <w:numId w:val="1002"/>
        </w:numPr>
        <w:pStyle w:val="Compact"/>
      </w:pPr>
      <w:r>
        <w:t xml:space="preserve">This Quotation Estimate does not constitute a binding contract until both parties have executed the formal service agreement in writing.</w:t>
      </w:r>
    </w:p>
    <w:p>
      <w:pPr>
        <w:pStyle w:val="FirstParagraph"/>
      </w:pPr>
      <w:r>
        <w:rPr>
          <w:bCs/>
          <w:b/>
        </w:rPr>
        <w:t xml:space="preserve">Prepared by:</w:t>
      </w:r>
    </w:p>
    <w:p>
      <w:pPr>
        <w:pStyle w:val="BodyText"/>
      </w:pPr>
      <w:r>
        <w:t xml:space="preserve">Dr. Elena Restrepo Márquez</w:t>
      </w:r>
      <w:r>
        <w:br/>
      </w:r>
      <w:r>
        <w:t xml:space="preserve">Lead Astronomer</w:t>
      </w:r>
      <w:r>
        <w:br/>
      </w:r>
      <w:r>
        <w:t xml:space="preserve">Andean Celestial Research Group</w:t>
      </w:r>
      <w:r>
        <w:br/>
      </w:r>
      <w:r>
        <w:t xml:space="preserve">Bogotá, Colombia</w:t>
      </w:r>
    </w:p>
    <w:p>
      <w:pPr>
        <w:pStyle w:val="BodyText"/>
      </w:pPr>
      <w:r>
        <w:rPr>
          <w:bCs/>
          <w:b/>
        </w:rPr>
        <w:t xml:space="preserve">Accepted by (Client):</w:t>
      </w:r>
    </w:p>
    <w:p>
      <w:pPr>
        <w:pStyle w:val="BodyText"/>
      </w:pPr>
      <w:r>
        <w:t xml:space="preserve">______________________________</w:t>
      </w:r>
      <w:r>
        <w:br/>
      </w:r>
      <w:r>
        <w:t xml:space="preserve">Name &amp; Title</w:t>
      </w:r>
      <w:r>
        <w:br/>
      </w:r>
      <w:r>
        <w:t xml:space="preserve">Universidad Nacional de Colombia</w:t>
      </w:r>
      <w:r>
        <w:br/>
      </w:r>
      <w:r>
        <w:t xml:space="preserve">Bogotá, Colombia</w:t>
      </w:r>
    </w:p>
    <w:p>
      <w:pPr>
        <w:pStyle w:val="BodyText"/>
      </w:pPr>
      <w:r>
        <w:rPr>
          <w:bCs/>
          <w:b/>
        </w:rPr>
        <w:t xml:space="preserve">Important Notice:</w:t>
      </w:r>
      <w:r>
        <w:t xml:space="preserve"> </w:t>
      </w:r>
      <w:r>
        <w:t xml:space="preserve">This Quotation Estimate is a preliminary financial document prepared for the purpose of budgeting and institutional approval. It is not a final invoice. All figures are estimates based on current market rates in Colombia Bogotá as of June 2025. The final contract value may vary by up to 10% depending on scope adjustments mutually agreed upon by both parties. For questions regarding this Quotation Estimate, please contact the Astronomer’s administrative office at the Observatorio Astronómico Nacional, Bogotá, Colombia.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Colombia Bogotá</dc:title>
  <dc:creator/>
  <dc:language>en</dc:language>
  <cp:keywords/>
  <dcterms:created xsi:type="dcterms:W3CDTF">2026-10-10T08:06:50Z</dcterms:created>
  <dcterms:modified xsi:type="dcterms:W3CDTF">2026-10-10T08:06:50Z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