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t xml:space="preserve">Alexandria Astronomical Research &amp; Consultancy Services</w:t>
      </w:r>
    </w:p>
    <w:p>
      <w:pPr>
        <w:pStyle w:val="BodyText"/>
      </w:pPr>
      <w:r>
        <w:t xml:space="preserve">12 Corniche El-Nil Street, Smouha District, Egypt Alexandria, 21543</w:t>
      </w:r>
    </w:p>
    <w:p>
      <w:pPr>
        <w:pStyle w:val="BodyText"/>
      </w:pPr>
      <w:r>
        <w:t xml:space="preserve">Tel: +20 3 555 0123 | Email: info@alexastro-eg.com | Tax Reg: EG-2024-ASTRO-0047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QTE-2025-ALX-0387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For</w:t>
            </w:r>
          </w:p>
        </w:tc>
        <w:tc>
          <w:tcPr/>
          <w:p>
            <w:pPr>
              <w:pStyle w:val="Compact"/>
              <w:jc w:val="left"/>
            </w:pPr>
            <w:r>
              <w:t xml:space="preserve">Dr. Mahmoud El-Sayed, Director, Alexandria University Faculty of Science, Egypt Alexandria</w:t>
            </w:r>
          </w:p>
        </w:tc>
      </w:tr>
      <w:tr>
        <w:tc>
          <w:tcPr/>
          <w:p>
            <w:pPr>
              <w:pStyle w:val="Compact"/>
              <w:jc w:val="left"/>
            </w:pPr>
            <w:r>
              <w:t xml:space="preserve">Project Reference</w:t>
            </w:r>
          </w:p>
        </w:tc>
        <w:tc>
          <w:tcPr/>
          <w:p>
            <w:pPr>
              <w:pStyle w:val="Compact"/>
              <w:jc w:val="left"/>
            </w:pPr>
            <w:r>
              <w:t xml:space="preserve">Engagement of a Senior Astronomer for the Heliopolis Observatory Expansion Programme</w:t>
            </w:r>
          </w:p>
        </w:tc>
      </w:tr>
      <w:tr>
        <w:tc>
          <w:tcPr/>
          <w:p>
            <w:pPr>
              <w:pStyle w:val="Compact"/>
              <w:jc w:val="left"/>
            </w:pPr>
            <w:r>
              <w:t xml:space="preserve">Payment Currency</w:t>
            </w:r>
          </w:p>
        </w:tc>
        <w:tc>
          <w:tcPr/>
          <w:p>
            <w:pPr>
              <w:pStyle w:val="Compact"/>
              <w:jc w:val="left"/>
            </w:pPr>
            <w:r>
              <w:t xml:space="preserve">Egyptian Pound (EGP) / US Dollar (USD)</w:t>
            </w:r>
          </w:p>
        </w:tc>
      </w:tr>
    </w:tbl>
    <w:bookmarkStart w:id="21" w:name="scope-of-work-description"/>
    <w:p>
      <w:pPr>
        <w:pStyle w:val="Heading2"/>
      </w:pPr>
      <w:r>
        <w:t xml:space="preserve">1. Scope of Work &amp; Description</w:t>
      </w:r>
    </w:p>
    <w:p>
      <w:pPr>
        <w:pStyle w:val="FirstParagraph"/>
      </w:pPr>
      <w:r>
        <w:t xml:space="preserve">This</w:t>
      </w:r>
      <w:r>
        <w:t xml:space="preserve"> </w:t>
      </w:r>
      <w:r>
        <w:t xml:space="preserve">Quotation Estimate</w:t>
      </w:r>
      <w:r>
        <w:t xml:space="preserve"> </w:t>
      </w:r>
      <w:r>
        <w:t xml:space="preserve">is issued in response to the formal request submitted by the Alexandria University Faculty of Science for the professional engagement of a qualified</w:t>
      </w:r>
      <w:r>
        <w:t xml:space="preserve"> </w:t>
      </w:r>
      <w:r>
        <w:t xml:space="preserve">Astronomer</w:t>
      </w:r>
      <w:r>
        <w:t xml:space="preserve"> </w:t>
      </w:r>
      <w:r>
        <w:t xml:space="preserve">to support the Heliopolis Observatory Expansion Programme located in</w:t>
      </w:r>
      <w:r>
        <w:t xml:space="preserve"> </w:t>
      </w:r>
      <w:r>
        <w:t xml:space="preserve">Egypt Alexandria</w:t>
      </w:r>
      <w:r>
        <w:t xml:space="preserve">. The scope encompasses a comprehensive package of astronomical consultancy, observational supervision, instrument calibration, and academic mentorship services. The</w:t>
      </w:r>
      <w:r>
        <w:t xml:space="preserve"> </w:t>
      </w:r>
      <w:r>
        <w:t xml:space="preserve">Astronomer</w:t>
      </w:r>
      <w:r>
        <w:t xml:space="preserve"> </w:t>
      </w:r>
      <w:r>
        <w:t xml:space="preserve">shall be responsible for overseeing the installation and commissioning of the new 1.2-metre Ritchey-Chrétien reflector telescope, conducting regular photometric and spectroscopic surveys of the night sky above the Mediterranean coastline, and delivering a minimum of twelve (12) public outreach lectures per academic year to the residents and students of</w:t>
      </w:r>
      <w:r>
        <w:t xml:space="preserve"> </w:t>
      </w:r>
      <w:r>
        <w:t xml:space="preserve">Egypt Alexandria</w:t>
      </w:r>
      <w:r>
        <w:t xml:space="preserve">.</w:t>
      </w:r>
    </w:p>
    <w:p>
      <w:pPr>
        <w:pStyle w:val="BodyText"/>
      </w:pPr>
      <w:r>
        <w:t xml:space="preserve">The engagement period covered by this</w:t>
      </w:r>
      <w:r>
        <w:t xml:space="preserve"> </w:t>
      </w:r>
      <w:r>
        <w:t xml:space="preserve">Quotation Estimate</w:t>
      </w:r>
      <w:r>
        <w:t xml:space="preserve"> </w:t>
      </w:r>
      <w:r>
        <w:t xml:space="preserve">is twenty-four (24) months, commencing on 1 September 2025 and concluding on 31 August 2027. All deliverables, reports, and data sets produced by the</w:t>
      </w:r>
      <w:r>
        <w:t xml:space="preserve"> </w:t>
      </w:r>
      <w:r>
        <w:t xml:space="preserve">Astronomer</w:t>
      </w:r>
      <w:r>
        <w:t xml:space="preserve"> </w:t>
      </w:r>
      <w:r>
        <w:t xml:space="preserve">during this period shall be the intellectual property of the commissioning institution in</w:t>
      </w:r>
      <w:r>
        <w:t xml:space="preserve"> </w:t>
      </w:r>
      <w:r>
        <w:t xml:space="preserve">Egypt Alexandria</w:t>
      </w:r>
      <w:r>
        <w:t xml:space="preserve">, subject to standard academic publication rights.</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Monthly professional fee for Senior Astronomer (PhD, 15+ years experience) – on-site in Egypt Alexandria</w:t>
            </w:r>
          </w:p>
        </w:tc>
        <w:tc>
          <w:tcPr/>
          <w:p>
            <w:pPr>
              <w:pStyle w:val="Compact"/>
              <w:jc w:val="left"/>
            </w:pPr>
            <w:r>
              <w:t xml:space="preserve">24 months</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02</w:t>
            </w:r>
          </w:p>
        </w:tc>
        <w:tc>
          <w:tcPr/>
          <w:p>
            <w:pPr>
              <w:pStyle w:val="Compact"/>
              <w:jc w:val="left"/>
            </w:pPr>
            <w:r>
              <w:t xml:space="preserve">Telescope installation supervision and optical alignment (1.2-m R-C reflector)</w:t>
            </w:r>
          </w:p>
        </w:tc>
        <w:tc>
          <w:tcPr/>
          <w:p>
            <w:pPr>
              <w:pStyle w:val="Compact"/>
              <w:jc w:val="left"/>
            </w:pPr>
            <w:r>
              <w:t xml:space="preserve">1 package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Quarterly photometric survey of the northern sky (Mediterranean horizon, Egypt Alexandria coordinates 31.2°N, 29.9°E)</w:t>
            </w:r>
          </w:p>
        </w:tc>
        <w:tc>
          <w:tcPr/>
          <w:p>
            <w:pPr>
              <w:pStyle w:val="Compact"/>
              <w:jc w:val="left"/>
            </w:pPr>
            <w:r>
              <w:t xml:space="preserve">8 surveys</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Spectroscopic analysis of variable stars and transient events</w:t>
            </w:r>
          </w:p>
        </w:tc>
        <w:tc>
          <w:tcPr/>
          <w:p>
            <w:pPr>
              <w:pStyle w:val="Compact"/>
              <w:jc w:val="left"/>
            </w:pPr>
            <w:r>
              <w:t xml:space="preserve">12 sessions</w:t>
            </w:r>
          </w:p>
        </w:tc>
        <w:tc>
          <w:tcPr/>
          <w:p>
            <w:pPr>
              <w:pStyle w:val="Compact"/>
              <w:jc w:val="left"/>
            </w:pPr>
            <w:r>
              <w:t xml:space="preserve">38,000</w:t>
            </w:r>
          </w:p>
        </w:tc>
        <w:tc>
          <w:tcPr/>
          <w:p>
            <w:pPr>
              <w:pStyle w:val="Compact"/>
              <w:jc w:val="left"/>
            </w:pPr>
            <w:r>
              <w:t xml:space="preserve">456,000</w:t>
            </w:r>
          </w:p>
        </w:tc>
      </w:tr>
      <w:tr>
        <w:tc>
          <w:tcPr/>
          <w:p>
            <w:pPr>
              <w:pStyle w:val="Compact"/>
              <w:jc w:val="left"/>
            </w:pPr>
            <w:r>
              <w:t xml:space="preserve">05</w:t>
            </w:r>
          </w:p>
        </w:tc>
        <w:tc>
          <w:tcPr/>
          <w:p>
            <w:pPr>
              <w:pStyle w:val="Compact"/>
              <w:jc w:val="left"/>
            </w:pPr>
            <w:r>
              <w:t xml:space="preserve">Public outreach lectures and school visits within Egypt Alexandria governorate</w:t>
            </w:r>
          </w:p>
        </w:tc>
        <w:tc>
          <w:tcPr/>
          <w:p>
            <w:pPr>
              <w:pStyle w:val="Compact"/>
              <w:jc w:val="left"/>
            </w:pPr>
            <w:r>
              <w:t xml:space="preserve">12 events</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06</w:t>
            </w:r>
          </w:p>
        </w:tc>
        <w:tc>
          <w:tcPr/>
          <w:p>
            <w:pPr>
              <w:pStyle w:val="Compact"/>
              <w:jc w:val="left"/>
            </w:pPr>
            <w:r>
              <w:t xml:space="preserve">Academic mentorship of 4 graduate students (MSc/PhD) in observational astronomy</w:t>
            </w:r>
          </w:p>
        </w:tc>
        <w:tc>
          <w:tcPr/>
          <w:p>
            <w:pPr>
              <w:pStyle w:val="Compact"/>
              <w:jc w:val="left"/>
            </w:pPr>
            <w:r>
              <w:t xml:space="preserve">24 months</w:t>
            </w:r>
          </w:p>
        </w:tc>
        <w:tc>
          <w:tcPr/>
          <w:p>
            <w:pPr>
              <w:pStyle w:val="Compact"/>
              <w:jc w:val="left"/>
            </w:pPr>
            <w:r>
              <w:t xml:space="preserve">28,000</w:t>
            </w:r>
          </w:p>
        </w:tc>
        <w:tc>
          <w:tcPr/>
          <w:p>
            <w:pPr>
              <w:pStyle w:val="Compact"/>
              <w:jc w:val="left"/>
            </w:pPr>
            <w:r>
              <w:t xml:space="preserve">672,000</w:t>
            </w:r>
          </w:p>
        </w:tc>
      </w:tr>
      <w:tr>
        <w:tc>
          <w:tcPr/>
          <w:p>
            <w:pPr>
              <w:pStyle w:val="Compact"/>
              <w:jc w:val="left"/>
            </w:pPr>
            <w:r>
              <w:t xml:space="preserve">07</w:t>
            </w:r>
          </w:p>
        </w:tc>
        <w:tc>
          <w:tcPr/>
          <w:p>
            <w:pPr>
              <w:pStyle w:val="Compact"/>
              <w:jc w:val="left"/>
            </w:pPr>
            <w:r>
              <w:t xml:space="preserve">Annual equipment maintenance and calibration report</w:t>
            </w:r>
          </w:p>
        </w:tc>
        <w:tc>
          <w:tcPr/>
          <w:p>
            <w:pPr>
              <w:pStyle w:val="Compact"/>
              <w:jc w:val="left"/>
            </w:pPr>
            <w:r>
              <w:t xml:space="preserve">2 years</w:t>
            </w:r>
          </w:p>
        </w:tc>
        <w:tc>
          <w:tcPr/>
          <w:p>
            <w:pPr>
              <w:pStyle w:val="Compact"/>
              <w:jc w:val="left"/>
            </w:pPr>
            <w:r>
              <w:t xml:space="preserve">55,000</w:t>
            </w:r>
          </w:p>
        </w:tc>
        <w:tc>
          <w:tcPr/>
          <w:p>
            <w:pPr>
              <w:pStyle w:val="Compact"/>
              <w:jc w:val="left"/>
            </w:pPr>
            <w:r>
              <w:t xml:space="preserve">110,000</w:t>
            </w:r>
          </w:p>
        </w:tc>
      </w:tr>
      <w:tr>
        <w:tc>
          <w:tcPr/>
          <w:p>
            <w:pPr>
              <w:pStyle w:val="Compact"/>
              <w:jc w:val="left"/>
            </w:pPr>
            <w:r>
              <w:t xml:space="preserve">08</w:t>
            </w:r>
          </w:p>
        </w:tc>
        <w:tc>
          <w:tcPr/>
          <w:p>
            <w:pPr>
              <w:pStyle w:val="Compact"/>
              <w:jc w:val="left"/>
            </w:pPr>
            <w:r>
              <w:t xml:space="preserve">Travel and accommodation allowance (for international guest co-observers visiting Egypt Alexandria)</w:t>
            </w:r>
          </w:p>
        </w:tc>
        <w:tc>
          <w:tcPr/>
          <w:p>
            <w:pPr>
              <w:pStyle w:val="Compact"/>
              <w:jc w:val="left"/>
            </w:pPr>
            <w:r>
              <w:t xml:space="preserve">4 visits</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09</w:t>
            </w:r>
          </w:p>
        </w:tc>
        <w:tc>
          <w:tcPr/>
          <w:p>
            <w:pPr>
              <w:pStyle w:val="Compact"/>
              <w:jc w:val="left"/>
            </w:pPr>
            <w:r>
              <w:t xml:space="preserve">Administrative overhead, insurance, and local compliance (Egypt Alexandria municipal permits)</w:t>
            </w:r>
          </w:p>
        </w:tc>
        <w:tc>
          <w:tcPr/>
          <w:p>
            <w:pPr>
              <w:pStyle w:val="Compact"/>
              <w:jc w:val="left"/>
            </w:pPr>
            <w:r>
              <w:t xml:space="preserve">1 package</w:t>
            </w:r>
          </w:p>
        </w:tc>
        <w:tc>
          <w:tcPr/>
          <w:p>
            <w:pPr>
              <w:pStyle w:val="Compact"/>
              <w:jc w:val="left"/>
            </w:pPr>
            <w:r>
              <w:t xml:space="preserve">95,000</w:t>
            </w:r>
          </w:p>
        </w:tc>
        <w:tc>
          <w:tcPr/>
          <w:p>
            <w:pPr>
              <w:pStyle w:val="Compact"/>
              <w:jc w:val="left"/>
            </w:pPr>
            <w:r>
              <w:t xml:space="preserve">95,000</w:t>
            </w:r>
          </w:p>
        </w:tc>
      </w:tr>
      <w:tr>
        <w:tc>
          <w:tcPr>
            <w:gridSpan w:val="4"/>
          </w:tcPr>
          <w:p>
            <w:pPr>
              <w:pStyle w:val="Compact"/>
              <w:jc w:val="left"/>
            </w:pPr>
            <w:r>
              <w:t xml:space="preserve">GRAND TOTAL (before VAT)</w:t>
            </w:r>
          </w:p>
        </w:tc>
        <w:tc>
          <w:tcPr/>
          <w:p>
            <w:pPr>
              <w:pStyle w:val="Compact"/>
              <w:jc w:val="left"/>
            </w:pPr>
            <w:r>
              <w:t xml:space="preserve">EGP 6,737,000</w:t>
            </w:r>
          </w:p>
        </w:tc>
      </w:tr>
      <w:tr>
        <w:tc>
          <w:tcPr>
            <w:gridSpan w:val="4"/>
          </w:tcPr>
          <w:p>
            <w:pPr>
              <w:pStyle w:val="Compact"/>
              <w:jc w:val="left"/>
            </w:pPr>
            <w:r>
              <w:t xml:space="preserve">VAT (14% – Egyptian Tax Authority)</w:t>
            </w:r>
          </w:p>
        </w:tc>
        <w:tc>
          <w:tcPr/>
          <w:p>
            <w:pPr>
              <w:pStyle w:val="Compact"/>
              <w:jc w:val="left"/>
            </w:pPr>
            <w:r>
              <w:t xml:space="preserve">EGP 943,180</w:t>
            </w:r>
          </w:p>
        </w:tc>
      </w:tr>
      <w:tr>
        <w:tc>
          <w:tcPr>
            <w:gridSpan w:val="4"/>
          </w:tcPr>
          <w:p>
            <w:pPr>
              <w:pStyle w:val="Compact"/>
              <w:jc w:val="left"/>
            </w:pPr>
            <w:r>
              <w:t xml:space="preserve">TOTAL AMOUNT DUE</w:t>
            </w:r>
          </w:p>
        </w:tc>
        <w:tc>
          <w:tcPr/>
          <w:p>
            <w:pPr>
              <w:pStyle w:val="Compact"/>
              <w:jc w:val="left"/>
            </w:pPr>
            <w:r>
              <w:t xml:space="preserve">EGP 7,680,180</w:t>
            </w:r>
          </w:p>
        </w:tc>
      </w:tr>
    </w:tbl>
    <w:p>
      <w:pPr>
        <w:pStyle w:val="BodyText"/>
      </w:pPr>
      <w:r>
        <w:rPr>
          <w:bCs/>
          <w:b/>
        </w:rPr>
        <w:t xml:space="preserve">Note:</w:t>
      </w:r>
      <w:r>
        <w:t xml:space="preserve"> </w:t>
      </w:r>
      <w:r>
        <w:t xml:space="preserve">This Quotation Estimate assumes standard operating conditions at the Heliopolis Observatory site in Egypt Alexandria. Should the Astronomer be required to conduct observations at an alternative dark-sky location (e.g., the Western Desert site near Mersa Matruh), an additional travel surcharge of EGP 15,000 per night shall apply. All figures in this Quotation Estimate are subject to revision if the Egyptian Pound experiences a devaluation exceeding 10% relative to the US Dollar during the contract term.</w:t>
      </w:r>
    </w:p>
    <w:bookmarkEnd w:id="22"/>
    <w:bookmarkStart w:id="23" w:name="payment-schedule"/>
    <w:p>
      <w:pPr>
        <w:pStyle w:val="Heading2"/>
      </w:pPr>
      <w:r>
        <w:t xml:space="preserve">3. Payment Schedule</w:t>
      </w:r>
    </w:p>
    <w:p>
      <w:pPr>
        <w:pStyle w:val="FirstParagraph"/>
      </w:pPr>
      <w:r>
        <w:t xml:space="preserve">The total amount stipulated in this</w:t>
      </w:r>
      <w:r>
        <w:t xml:space="preserve"> </w:t>
      </w:r>
      <w:r>
        <w:t xml:space="preserve">Quotation Estimate</w:t>
      </w:r>
      <w:r>
        <w:t xml:space="preserve"> </w:t>
      </w:r>
      <w:r>
        <w:t xml:space="preserve">shall be disbursed as follows: (a) 20% advance payment upon signature of the service agreement; (b) 40% payable at the midpoint of the engagement (month 12); (c) 30% payable upon completion of the telescope commissioning milestone; and (d) 10% final payment upon submission of the comprehensive end-of-contract report by the</w:t>
      </w:r>
      <w:r>
        <w:t xml:space="preserve"> </w:t>
      </w:r>
      <w:r>
        <w:t xml:space="preserve">Astronomer</w:t>
      </w:r>
      <w:r>
        <w:t xml:space="preserve">. All payments shall be made via bank transfer to the account designated in the annexed contract, denominated in EGP at the Central Bank of Egypt reference rate on the date of invoicing.</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all prices and availability of the</w:t>
      </w:r>
      <w:r>
        <w:t xml:space="preserve"> </w:t>
      </w:r>
      <w:r>
        <w:t xml:space="preserve">Astronomer</w:t>
      </w:r>
      <w:r>
        <w:t xml:space="preserve"> </w:t>
      </w:r>
      <w:r>
        <w:t xml:space="preserve">are subject to re-evaluation.</w:t>
      </w:r>
    </w:p>
    <w:p>
      <w:pPr>
        <w:numPr>
          <w:ilvl w:val="0"/>
          <w:numId w:val="1001"/>
        </w:numPr>
        <w:pStyle w:val="Compact"/>
      </w:pPr>
      <w:r>
        <w:t xml:space="preserve">The</w:t>
      </w:r>
      <w:r>
        <w:t xml:space="preserve"> </w:t>
      </w:r>
      <w:r>
        <w:t xml:space="preserve">Astronomer</w:t>
      </w:r>
      <w:r>
        <w:t xml:space="preserve"> </w:t>
      </w:r>
      <w:r>
        <w:t xml:space="preserve">shall comply with all applicable Egyptian laws, including the Egyptian Space and Astronomy Regulatory Authority guidelines for optical observations conducted within</w:t>
      </w:r>
      <w:r>
        <w:t xml:space="preserve"> </w:t>
      </w:r>
      <w:r>
        <w:t xml:space="preserve">Egypt Alexandria</w:t>
      </w:r>
      <w:r>
        <w:t xml:space="preserve"> </w:t>
      </w:r>
      <w:r>
        <w:t xml:space="preserve">governorate boundaries.</w:t>
      </w:r>
    </w:p>
    <w:p>
      <w:pPr>
        <w:numPr>
          <w:ilvl w:val="0"/>
          <w:numId w:val="1001"/>
        </w:numPr>
        <w:pStyle w:val="Compact"/>
      </w:pPr>
      <w:r>
        <w:t xml:space="preserve">Any change in scope, additional observation targets, or extended engagement beyond the 24-month period shall be documented in a formal amendment to this</w:t>
      </w:r>
      <w:r>
        <w:t xml:space="preserve"> </w:t>
      </w:r>
      <w:r>
        <w:t xml:space="preserve">Quotation Estimate</w:t>
      </w:r>
      <w:r>
        <w:t xml:space="preserve"> </w:t>
      </w:r>
      <w:r>
        <w:t xml:space="preserve">and signed by both parties.</w:t>
      </w:r>
    </w:p>
    <w:p>
      <w:pPr>
        <w:numPr>
          <w:ilvl w:val="0"/>
          <w:numId w:val="1001"/>
        </w:numPr>
        <w:pStyle w:val="Compact"/>
      </w:pPr>
      <w:r>
        <w:t xml:space="preserve">The</w:t>
      </w:r>
      <w:r>
        <w:t xml:space="preserve"> </w:t>
      </w:r>
      <w:r>
        <w:t xml:space="preserve">Astronomer</w:t>
      </w:r>
      <w:r>
        <w:t xml:space="preserve"> </w:t>
      </w:r>
      <w:r>
        <w:t xml:space="preserve">is entitled to one (1) week of paid annual leave during each 12-month period, to be scheduled in consultation with the project director in</w:t>
      </w:r>
      <w:r>
        <w:t xml:space="preserve"> </w:t>
      </w:r>
      <w:r>
        <w:t xml:space="preserve">Egypt Alexandria</w:t>
      </w:r>
      <w:r>
        <w:t xml:space="preserve">.</w:t>
      </w:r>
    </w:p>
    <w:p>
      <w:pPr>
        <w:numPr>
          <w:ilvl w:val="0"/>
          <w:numId w:val="1001"/>
        </w:numPr>
        <w:pStyle w:val="Compact"/>
      </w:pPr>
      <w:r>
        <w:t xml:space="preserve">Confidentiality: All proprietary data, unpublished observations, and internal reports generated during the engagement shall remain confidential for a period of five (5) years following the conclusion of the contract, unless otherwise agreed in writing.</w:t>
      </w:r>
    </w:p>
    <w:p>
      <w:pPr>
        <w:numPr>
          <w:ilvl w:val="0"/>
          <w:numId w:val="1001"/>
        </w:numPr>
        <w:pStyle w:val="Compact"/>
      </w:pPr>
      <w:r>
        <w:t xml:space="preserve">Disputes arising from this</w:t>
      </w:r>
      <w:r>
        <w:t xml:space="preserve"> </w:t>
      </w:r>
      <w:r>
        <w:t xml:space="preserve">Quotation Estimate</w:t>
      </w:r>
      <w:r>
        <w:t xml:space="preserve"> </w:t>
      </w:r>
      <w:r>
        <w:t xml:space="preserve">or the resulting service agreement shall be resolved through arbitration under the rules of the Egyptian Arbitration Centre, with the seat of arbitration in Cairo, Egypt.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and the advance payment has been received in full.</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the engagement of the</w:t>
      </w:r>
      <w:r>
        <w:t xml:space="preserve"> </w:t>
      </w:r>
      <w:r>
        <w:t xml:space="preserve">Astronomer</w:t>
      </w:r>
      <w:r>
        <w:t xml:space="preserve"> </w:t>
      </w:r>
      <w:r>
        <w:t xml:space="preserve">for the services described herein, to be carried out at the designated facility in</w:t>
      </w:r>
      <w:r>
        <w:t xml:space="preserve"> </w:t>
      </w:r>
      <w:r>
        <w:t xml:space="preserve">Egypt Alexandria</w:t>
      </w:r>
      <w:r>
        <w:t xml:space="preserve">. The undersigned confirms that all terms, conditions, and financial obligations outlined in this document have been reviewed and accepted.</w:t>
      </w:r>
    </w:p>
    <w:p>
      <w:pPr>
        <w:pStyle w:val="BodyText"/>
      </w:pPr>
      <w:r>
        <w:rPr>
          <w:bCs/>
          <w:b/>
        </w:rPr>
        <w:t xml:space="preserve">For: Alexandria Astronomical Research &amp; Consultancy Services</w:t>
      </w:r>
      <w:r>
        <w:br/>
      </w:r>
      <w:r>
        <w:t xml:space="preserve">Name: Dr. Layla Hassan, Lead Astronomer</w:t>
      </w:r>
      <w:r>
        <w:br/>
      </w:r>
      <w:r>
        <w:t xml:space="preserve">Signature &amp; Date: ___________________________</w:t>
      </w:r>
    </w:p>
    <w:p>
      <w:pPr>
        <w:pStyle w:val="BodyText"/>
      </w:pPr>
      <w:r>
        <w:rPr>
          <w:bCs/>
          <w:b/>
        </w:rPr>
        <w:t xml:space="preserve">For: Alexandria University Faculty of Science</w:t>
      </w:r>
      <w:r>
        <w:br/>
      </w:r>
      <w:r>
        <w:t xml:space="preserve">Name: Dr. Mahmoud El-Sayed, Director</w:t>
      </w:r>
      <w:r>
        <w:br/>
      </w:r>
      <w:r>
        <w:t xml:space="preserve">Signature &amp; Date: ___________________________</w:t>
      </w:r>
    </w:p>
    <w:p>
      <w:pPr>
        <w:pStyle w:val="BodyText"/>
      </w:pPr>
      <w:r>
        <w:t xml:space="preserve">This Quotation Estimate (Ref: QTE-2025-ALX-0387) was prepared for the engagement of an Astronomer in Egypt Alexandria. Page 1 of 1.</w:t>
      </w:r>
    </w:p>
    <w:p>
      <w:pPr>
        <w:pStyle w:val="BodyText"/>
      </w:pPr>
      <w:r>
        <w:t xml:space="preserve">Alexandria Astronomical Research &amp; Consultancy Services © 2025.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Astronomer Services - Egypt Alexandria</dc:title>
  <dc:creator/>
  <dc:language>en</dc:language>
  <cp:keywords/>
  <dcterms:created xsi:type="dcterms:W3CDTF">2026-10-10T01:57:22Z</dcterms:created>
  <dcterms:modified xsi:type="dcterms:W3CDTF">2026-10-10T01:57:22Z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