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Astronomer Services — Egypt Cairo</w:t>
      </w:r>
    </w:p>
    <w:p>
      <w:pPr>
        <w:pStyle w:val="BodyText"/>
      </w:pPr>
      <w:r>
        <w:t xml:space="preserve">Nile Celestial Consulting &amp; Research Ltd.</w:t>
      </w:r>
    </w:p>
    <w:p>
      <w:pPr>
        <w:pStyle w:val="BodyText"/>
      </w:pPr>
      <w:r>
        <w:t xml:space="preserve">12 El-Gouna Street, Zamalek District, Cairo, Egypt 11511</w:t>
      </w:r>
    </w:p>
    <w:p>
      <w:pPr>
        <w:pStyle w:val="BodyText"/>
      </w:pPr>
      <w:r>
        <w:t xml:space="preserve">Tel: +20 2 2735 4488 | Email: info@nilecelestial.com.eg</w:t>
      </w:r>
    </w:p>
    <w:bookmarkEnd w:id="20"/>
    <w:p>
      <w:pPr>
        <w:pStyle w:val="BodyText"/>
      </w:pPr>
      <w:r>
        <w:rPr>
          <w:bCs/>
          <w:b/>
        </w:rPr>
        <w:t xml:space="preserve">Quotation Estimate No.:</w:t>
      </w:r>
      <w:r>
        <w:t xml:space="preserve"> </w:t>
      </w:r>
      <w:r>
        <w:t xml:space="preserve">NCC-2025-0472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Cairo University Faculty of Science</w:t>
      </w:r>
      <w:r>
        <w:br/>
      </w:r>
      <w:r>
        <w:t xml:space="preserve">Giza, Egypt</w:t>
      </w:r>
      <w:r>
        <w:br/>
      </w:r>
      <w:r>
        <w:t xml:space="preserve">Attn: Prof. Ahmed El-Sayed, Department Head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Nile Celestial Consulting &amp; Research Ltd. to provide a comprehensive and transparent breakdown of costs associated with the engagement of a senior</w:t>
      </w:r>
      <w:r>
        <w:t xml:space="preserve"> </w:t>
      </w:r>
      <w:r>
        <w:t xml:space="preserve">Astronomer</w:t>
      </w:r>
      <w:r>
        <w:t xml:space="preserve"> </w:t>
      </w:r>
      <w:r>
        <w:t xml:space="preserve">for a twelve-month professional services contract to be executed in</w:t>
      </w:r>
      <w:r>
        <w:t xml:space="preserve"> </w:t>
      </w:r>
      <w:r>
        <w:t xml:space="preserve">Egypt Cairo</w:t>
      </w:r>
      <w:r>
        <w:t xml:space="preserve">. The purpose of this document is to outline the scope of work, deliverables, associated fees, and all applicable terms governing the professional relationship between our firm and the requesting institution. This</w:t>
      </w:r>
      <w:r>
        <w:t xml:space="preserve"> </w:t>
      </w:r>
      <w:r>
        <w:t xml:space="preserve">Quotation Estimate</w:t>
      </w:r>
      <w:r>
        <w:t xml:space="preserve"> </w:t>
      </w:r>
      <w:r>
        <w:t xml:space="preserve">reflects current market rates for specialized astronomical consulting services within the</w:t>
      </w:r>
      <w:r>
        <w:t xml:space="preserve"> </w:t>
      </w:r>
      <w:r>
        <w:t xml:space="preserve">Egypt Cairo</w:t>
      </w:r>
      <w:r>
        <w:t xml:space="preserve"> </w:t>
      </w:r>
      <w:r>
        <w:t xml:space="preserve">metropolitan area and its surrounding research corridors.</w:t>
      </w:r>
    </w:p>
    <w:bookmarkEnd w:id="21"/>
    <w:bookmarkStart w:id="22" w:name="Xd68429c764881a1d3b3c456ac450ddd72835373"/>
    <w:p>
      <w:pPr>
        <w:pStyle w:val="Heading2"/>
      </w:pPr>
      <w:r>
        <w:t xml:space="preserve">2. Scope of Services — Astronomer Engagement in Egypt Cairo</w:t>
      </w:r>
    </w:p>
    <w:p>
      <w:pPr>
        <w:pStyle w:val="FirstParagraph"/>
      </w:pPr>
      <w:r>
        <w:t xml:space="preserve">The</w:t>
      </w:r>
      <w:r>
        <w:t xml:space="preserve"> </w:t>
      </w:r>
      <w:r>
        <w:t xml:space="preserve">Astronomer</w:t>
      </w:r>
      <w:r>
        <w:t xml:space="preserve"> </w:t>
      </w:r>
      <w:r>
        <w:t xml:space="preserve">to be deployed under this engagement will hold a Doctorate in Astrophysics or a closely related discipline and will possess a minimum of fifteen years of professional experience in observational astronomy, data analysis, and academic mentorship. The services will be rendered primarily at the Cairo University observatory facilities in Giza, with additional fieldwork conducted at the Heliopolis Astronomical Station and select desert observation sites in the western</w:t>
      </w:r>
      <w:r>
        <w:t xml:space="preserve"> </w:t>
      </w:r>
      <w:r>
        <w:t xml:space="preserve">Egypt Cairo</w:t>
      </w:r>
      <w:r>
        <w:t xml:space="preserve"> </w:t>
      </w:r>
      <w:r>
        <w:t xml:space="preserve">governorate.</w:t>
      </w:r>
    </w:p>
    <w:p>
      <w:pPr>
        <w:pStyle w:val="BodyText"/>
      </w:pPr>
      <w:r>
        <w:t xml:space="preserve">The scope of work includes, but is not limited to: (a) design and supervision of a new deep-sky survey programme targeting the northern celestial hemisphere; (b) calibration and maintenance of the 600mm reflector telescope housed at the Giza facility; (c) weekly research seminars for graduate students in the Department of Astronomy; (d) collaborative publication of at least three peer-reviewed articles per annum; (e) advisory consultation on the proposed expansion of the</w:t>
      </w:r>
      <w:r>
        <w:t xml:space="preserve"> </w:t>
      </w:r>
      <w:r>
        <w:t xml:space="preserve">Egypt Cairo</w:t>
      </w:r>
      <w:r>
        <w:t xml:space="preserve"> </w:t>
      </w:r>
      <w:r>
        <w:t xml:space="preserve">astronomical research network; and (f) public outreach events, including stargazing nights and school visits, to be held in various districts of</w:t>
      </w:r>
      <w:r>
        <w:t xml:space="preserve"> </w:t>
      </w:r>
      <w:r>
        <w:t xml:space="preserve">Egypt Cairo</w:t>
      </w:r>
      <w:r>
        <w:t xml:space="preserve"> </w:t>
      </w:r>
      <w:r>
        <w:t xml:space="preserve">during the academic year.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Astronomer monthly professional fee (full-time, 40 hrs/week)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Telescope calibration, optical alignment, and annual maintenance (600mm reflector, Giza site)</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Deep-sky survey programme design, software licensing, and data processing infrastructure</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Weekly graduate research seminars and mentorship sessions (Cairo University, Giza)</w:t>
            </w:r>
          </w:p>
        </w:tc>
        <w:tc>
          <w:tcPr/>
          <w:p>
            <w:pPr>
              <w:pStyle w:val="Compact"/>
              <w:jc w:val="left"/>
            </w:pPr>
            <w:r>
              <w:t xml:space="preserve">48 sessions</w:t>
            </w:r>
          </w:p>
        </w:tc>
        <w:tc>
          <w:tcPr/>
          <w:p>
            <w:pPr>
              <w:pStyle w:val="Compact"/>
              <w:jc w:val="left"/>
            </w:pPr>
            <w:r>
              <w:t xml:space="preserve">3,200</w:t>
            </w:r>
          </w:p>
        </w:tc>
        <w:tc>
          <w:tcPr/>
          <w:p>
            <w:pPr>
              <w:pStyle w:val="Compact"/>
              <w:jc w:val="left"/>
            </w:pPr>
            <w:r>
              <w:t xml:space="preserve">153,600</w:t>
            </w:r>
          </w:p>
        </w:tc>
      </w:tr>
      <w:tr>
        <w:tc>
          <w:tcPr/>
          <w:p>
            <w:pPr>
              <w:pStyle w:val="Compact"/>
              <w:jc w:val="left"/>
            </w:pPr>
            <w:r>
              <w:t xml:space="preserve">05</w:t>
            </w:r>
          </w:p>
        </w:tc>
        <w:tc>
          <w:tcPr/>
          <w:p>
            <w:pPr>
              <w:pStyle w:val="Compact"/>
              <w:jc w:val="left"/>
            </w:pPr>
            <w:r>
              <w:t xml:space="preserve">Peer-reviewed publication support (editing, journal submission fees, open-access charges)</w:t>
            </w:r>
          </w:p>
        </w:tc>
        <w:tc>
          <w:tcPr/>
          <w:p>
            <w:pPr>
              <w:pStyle w:val="Compact"/>
              <w:jc w:val="left"/>
            </w:pPr>
            <w:r>
              <w:t xml:space="preserve">3 articles</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Public outreach and stargazing events in Egypt Cairo (venues, equipment transport, materials)</w:t>
            </w:r>
          </w:p>
        </w:tc>
        <w:tc>
          <w:tcPr/>
          <w:p>
            <w:pPr>
              <w:pStyle w:val="Compact"/>
              <w:jc w:val="left"/>
            </w:pPr>
            <w:r>
              <w:t xml:space="preserve">6 events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07</w:t>
            </w:r>
          </w:p>
        </w:tc>
        <w:tc>
          <w:tcPr/>
          <w:p>
            <w:pPr>
              <w:pStyle w:val="Compact"/>
              <w:jc w:val="left"/>
            </w:pPr>
            <w:r>
              <w:t xml:space="preserve">Fieldwork travel and accommodation (Heliopolis Station, Western Desert sites, Egypt Cairo governorate)</w:t>
            </w:r>
          </w:p>
        </w:tc>
        <w:tc>
          <w:tcPr/>
          <w:p>
            <w:pPr>
              <w:pStyle w:val="Compact"/>
              <w:jc w:val="left"/>
            </w:pPr>
            <w:r>
              <w:t xml:space="preserve">12 months</w:t>
            </w:r>
          </w:p>
        </w:tc>
        <w:tc>
          <w:tcPr/>
          <w:p>
            <w:pPr>
              <w:pStyle w:val="Compact"/>
              <w:jc w:val="left"/>
            </w:pPr>
            <w:r>
              <w:t xml:space="preserve">9,800</w:t>
            </w:r>
          </w:p>
        </w:tc>
        <w:tc>
          <w:tcPr/>
          <w:p>
            <w:pPr>
              <w:pStyle w:val="Compact"/>
              <w:jc w:val="left"/>
            </w:pPr>
            <w:r>
              <w:t xml:space="preserve">117,600</w:t>
            </w:r>
          </w:p>
        </w:tc>
      </w:tr>
      <w:tr>
        <w:tc>
          <w:tcPr/>
          <w:p>
            <w:pPr>
              <w:pStyle w:val="Compact"/>
              <w:jc w:val="left"/>
            </w:pPr>
            <w:r>
              <w:t xml:space="preserve">08</w:t>
            </w:r>
          </w:p>
        </w:tc>
        <w:tc>
          <w:tcPr/>
          <w:p>
            <w:pPr>
              <w:pStyle w:val="Compact"/>
              <w:jc w:val="left"/>
            </w:pPr>
            <w:r>
              <w:t xml:space="preserve">Administrative overhead, insurance, and project management coordination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2,001,200</w:t>
            </w:r>
          </w:p>
        </w:tc>
      </w:tr>
      <w:tr>
        <w:tc>
          <w:tcPr>
            <w:gridSpan w:val="4"/>
          </w:tcPr>
          <w:p>
            <w:pPr>
              <w:pStyle w:val="Compact"/>
              <w:jc w:val="right"/>
            </w:pPr>
            <w:r>
              <w:t xml:space="preserve">VAT (14% — Egyptian Tax Authority)</w:t>
            </w:r>
          </w:p>
        </w:tc>
        <w:tc>
          <w:tcPr/>
          <w:p>
            <w:pPr>
              <w:pStyle w:val="Compact"/>
              <w:jc w:val="left"/>
            </w:pPr>
            <w:r>
              <w:t xml:space="preserve">280,168</w:t>
            </w:r>
          </w:p>
        </w:tc>
      </w:tr>
      <w:tr>
        <w:tc>
          <w:tcPr>
            <w:gridSpan w:val="4"/>
          </w:tcPr>
          <w:p>
            <w:pPr>
              <w:pStyle w:val="Compact"/>
              <w:jc w:val="right"/>
            </w:pPr>
            <w:r>
              <w:t xml:space="preserve">GRAND TOTAL (EGP)</w:t>
            </w:r>
          </w:p>
        </w:tc>
        <w:tc>
          <w:tcPr/>
          <w:p>
            <w:pPr>
              <w:pStyle w:val="Compact"/>
              <w:jc w:val="left"/>
            </w:pPr>
            <w:r>
              <w:t xml:space="preserve">2,281,368</w:t>
            </w:r>
          </w:p>
        </w:tc>
      </w:tr>
    </w:tbl>
    <w:bookmarkEnd w:id="23"/>
    <w:bookmarkStart w:id="24" w:name="payment-terms-and-schedule"/>
    <w:p>
      <w:pPr>
        <w:pStyle w:val="Heading2"/>
      </w:pPr>
      <w:r>
        <w:t xml:space="preserve">4.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four equal quarterly instalments, each amounting to EGP 570,342 (inclusive of VAT). The first instalment is due within fifteen (15) business days of the formal acceptance of this</w:t>
      </w:r>
      <w:r>
        <w:t xml:space="preserve"> </w:t>
      </w:r>
      <w:r>
        <w:t xml:space="preserve">Quotation Estimate</w:t>
      </w:r>
      <w:r>
        <w:t xml:space="preserve"> </w:t>
      </w:r>
      <w:r>
        <w:t xml:space="preserve">and the execution of the master service agreement. Subsequent instalments are due on the first business day of each quarter. All payments shall be remitted via bank transfer to the account of Nile Celestial Consulting &amp; Research Ltd. at the National Bank of Egypt, Cairo branch. Late payments shall accrue interest at a rate of 1.5% per month, in accordance with Egyptian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Egypt Cairo</w:t>
      </w:r>
      <w:r>
        <w:t xml:space="preserve">.</w:t>
      </w:r>
    </w:p>
    <w:p>
      <w:pPr>
        <w:numPr>
          <w:ilvl w:val="0"/>
          <w:numId w:val="1001"/>
        </w:numPr>
        <w:pStyle w:val="Compact"/>
      </w:pPr>
      <w:r>
        <w:t xml:space="preserve">The</w:t>
      </w:r>
      <w:r>
        <w:t xml:space="preserve"> </w:t>
      </w:r>
      <w:r>
        <w:t xml:space="preserve">Astronomer</w:t>
      </w:r>
      <w:r>
        <w:t xml:space="preserve"> </w:t>
      </w:r>
      <w:r>
        <w:t xml:space="preserve">engaged under this contract shall comply with all applicable Egyptian labour regulations, professional licensing requirements, and institutional policies of Cairo University.</w:t>
      </w:r>
    </w:p>
    <w:p>
      <w:pPr>
        <w:numPr>
          <w:ilvl w:val="0"/>
          <w:numId w:val="1001"/>
        </w:numPr>
        <w:pStyle w:val="Compact"/>
      </w:pPr>
      <w:r>
        <w:t xml:space="preserve">All intellectual property generated during the course of the engagement, including survey data, publications, and software, shall be jointly owned by Nile Celestial Consulting &amp; Research Ltd. and the requesting institution, as stipulated in the master agreement.</w:t>
      </w:r>
    </w:p>
    <w:p>
      <w:pPr>
        <w:numPr>
          <w:ilvl w:val="0"/>
          <w:numId w:val="1001"/>
        </w:numPr>
        <w:pStyle w:val="Compact"/>
      </w:pPr>
      <w:r>
        <w:t xml:space="preserve">Either party may terminate the engagement with a written notice of sixty (60) days. In such an event, a pro-rata settlement of outstanding fees shall be calculated and paid within thirty (30) days of the termination date.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final legal review by the respective legal counsel of both parties.</w:t>
      </w:r>
    </w:p>
    <w:p>
      <w:pPr>
        <w:numPr>
          <w:ilvl w:val="0"/>
          <w:numId w:val="1001"/>
        </w:numPr>
        <w:pStyle w:val="Compact"/>
      </w:pPr>
      <w:r>
        <w:t xml:space="preserve">Force majeure events, including but not limited to severe weather conditions affecting astronomical observations in</w:t>
      </w:r>
      <w:r>
        <w:t xml:space="preserve"> </w:t>
      </w:r>
      <w:r>
        <w:t xml:space="preserve">Egypt Cairo</w:t>
      </w:r>
      <w:r>
        <w:t xml:space="preserve">, political disruptions, or government-mandated closures, shall exempt the</w:t>
      </w:r>
      <w:r>
        <w:t xml:space="preserve"> </w:t>
      </w:r>
      <w:r>
        <w:t xml:space="preserve">Astronomer</w:t>
      </w:r>
      <w:r>
        <w:t xml:space="preserve"> </w:t>
      </w:r>
      <w:r>
        <w:t xml:space="preserve">from performance obligations for the duration of such events without penalty.</w:t>
      </w:r>
    </w:p>
    <w:p>
      <w:pPr>
        <w:numPr>
          <w:ilvl w:val="0"/>
          <w:numId w:val="1001"/>
        </w:numPr>
        <w:pStyle w:val="Compact"/>
      </w:pPr>
      <w:r>
        <w:t xml:space="preserve">All personal data collected during the engagement shall be handled in accordance with the Egyptian Personal Data Protection Law (Law No. 151 of 2020).</w:t>
      </w:r>
    </w:p>
    <w:bookmarkEnd w:id="25"/>
    <w:bookmarkStart w:id="26" w:name="acceptance-and-authorization"/>
    <w:p>
      <w:pPr>
        <w:pStyle w:val="Heading2"/>
      </w:pPr>
      <w:r>
        <w:t xml:space="preserve">6. Acceptance and Authorization</w:t>
      </w:r>
    </w:p>
    <w:p>
      <w:pPr>
        <w:pStyle w:val="FirstParagraph"/>
      </w:pPr>
      <w:r>
        <w:t xml:space="preserve">By signing below, the requesting institution acknowledges receipt of this</w:t>
      </w:r>
      <w:r>
        <w:t xml:space="preserve"> </w:t>
      </w:r>
      <w:r>
        <w:t xml:space="preserve">Quotation Estimate</w:t>
      </w:r>
      <w:r>
        <w:t xml:space="preserve"> </w:t>
      </w:r>
      <w:r>
        <w:t xml:space="preserve">and confirms its intent to proceed with the engagement of the</w:t>
      </w:r>
      <w:r>
        <w:t xml:space="preserve"> </w:t>
      </w:r>
      <w:r>
        <w:t xml:space="preserve">Astronomer</w:t>
      </w:r>
      <w:r>
        <w:t xml:space="preserve"> </w:t>
      </w:r>
      <w:r>
        <w:t xml:space="preserve">as described herein for the</w:t>
      </w:r>
      <w:r>
        <w:t xml:space="preserve"> </w:t>
      </w:r>
      <w:r>
        <w:t xml:space="preserve">Egypt Cairo</w:t>
      </w:r>
      <w:r>
        <w:t xml:space="preserve"> </w:t>
      </w:r>
      <w:r>
        <w:t xml:space="preserve">project. This signature does not constitute final acceptance until the master service agreement has been countersigned by both parties.</w:t>
      </w:r>
    </w:p>
    <w:p>
      <w:pPr>
        <w:pStyle w:val="BodyText"/>
      </w:pPr>
      <w:r>
        <w:rPr>
          <w:bCs/>
          <w:b/>
        </w:rPr>
        <w:t xml:space="preserve">For Nile Celestial Consulting &amp; Research Ltd.</w:t>
      </w:r>
    </w:p>
    <w:p>
      <w:pPr>
        <w:pStyle w:val="BodyText"/>
      </w:pPr>
      <w:r>
        <w:t xml:space="preserve">Dr. Layla Mansour</w:t>
      </w:r>
      <w:r>
        <w:br/>
      </w:r>
      <w:r>
        <w:t xml:space="preserve">Chief Executive Officer</w:t>
      </w:r>
      <w:r>
        <w:br/>
      </w:r>
      <w:r>
        <w:t xml:space="preserve">Date: _______________</w:t>
      </w:r>
    </w:p>
    <w:p>
      <w:pPr>
        <w:pStyle w:val="BodyText"/>
      </w:pPr>
      <w:r>
        <w:rPr>
          <w:bCs/>
          <w:b/>
        </w:rPr>
        <w:t xml:space="preserve">For Cairo University Faculty of Science</w:t>
      </w:r>
    </w:p>
    <w:p>
      <w:pPr>
        <w:pStyle w:val="BodyText"/>
      </w:pPr>
      <w:r>
        <w:t xml:space="preserve">Prof. Ahmed El-Sayed</w:t>
      </w:r>
      <w:r>
        <w:br/>
      </w:r>
      <w:r>
        <w:t xml:space="preserve">Department Head, Astronomy</w:t>
      </w:r>
      <w:r>
        <w:br/>
      </w:r>
      <w:r>
        <w:t xml:space="preserve">Date: _______________</w:t>
      </w:r>
    </w:p>
    <w:p>
      <w:pPr>
        <w:pStyle w:val="BodyText"/>
      </w:pPr>
      <w:r>
        <w:t xml:space="preserve">This Quotation Estimate (No. NCC-2025-0472) was prepared exclusively for the addressee named above and may not be reproduced or distributed without prior written consent from Nile Celestial Consulting &amp; Research Ltd.</w:t>
      </w:r>
      <w:r>
        <w:br/>
      </w:r>
      <w:r>
        <w:t xml:space="preserve">© 2025 Nile Celestial Consulting &amp; Research Ltd. — All Rights Reserved — Cairo, Egypt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Egypt Cairo</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