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Platform</w:t>
      </w:r>
      <w:r>
        <w:t xml:space="preserve"> </w:t>
      </w:r>
      <w:r>
        <w:t xml:space="preserve">-</w:t>
      </w:r>
      <w:r>
        <w:t xml:space="preserve"> </w:t>
      </w:r>
      <w:r>
        <w:t xml:space="preserve">Germany</w:t>
      </w:r>
      <w:r>
        <w:t xml:space="preserve"> </w:t>
      </w:r>
      <w:r>
        <w:t xml:space="preserve">Munich</w:t>
      </w:r>
    </w:p>
    <w:bookmarkStart w:id="20" w:name="dataflow-solutions-gmbh"/>
    <w:p>
      <w:pPr>
        <w:pStyle w:val="Heading1"/>
      </w:pPr>
      <w:r>
        <w:t xml:space="preserve">DataFlow Solutions GmbH</w:t>
      </w:r>
    </w:p>
    <w:p>
      <w:pPr>
        <w:pStyle w:val="FirstParagraph"/>
      </w:pPr>
      <w:r>
        <w:t xml:space="preserve">Maximilianstraße 42, 80539 Munich, Germany | Tel: +49 89 1234 5678 | Email: quotes@dataflowsolutions.de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QTE-2025-MUC-0472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Germany Munich Region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GmbH</w:t>
      </w:r>
    </w:p>
    <w:p>
      <w:pPr>
        <w:pStyle w:val="BodyText"/>
      </w:pPr>
      <w:r>
        <w:rPr>
          <w:bCs/>
          <w:b/>
        </w:rPr>
        <w:t xml:space="preserve">Address:</w:t>
      </w:r>
      <w:r>
        <w:t xml:space="preserve"> </w:t>
      </w:r>
      <w:r>
        <w:t xml:space="preserve">Leopoldstraße 18, 80802 Munich, Germany</w:t>
      </w:r>
    </w:p>
    <w:p>
      <w:pPr>
        <w:pStyle w:val="BodyText"/>
      </w:pPr>
      <w:r>
        <w:rPr>
          <w:bCs/>
          <w:b/>
        </w:rPr>
        <w:t xml:space="preserve">Contact Person:</w:t>
      </w:r>
      <w:r>
        <w:t xml:space="preserve"> </w:t>
      </w:r>
      <w:r>
        <w:t xml:space="preserve">[Name], Head of Data Engineering</w:t>
      </w:r>
    </w:p>
    <w:p>
      <w:pPr>
        <w:pStyle w:val="BodyText"/>
      </w:pPr>
      <w:r>
        <w:rPr>
          <w:bCs/>
          <w:b/>
        </w:rPr>
        <w:t xml:space="preserve">USt-IdNr.:</w:t>
      </w:r>
      <w:r>
        <w:t xml:space="preserve"> </w:t>
      </w:r>
      <w:r>
        <w:t xml:space="preserve">DE [XXXXXXX]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DataFlow Solutions GmbH to provide a comprehensive financial and technical overview for the deployment, configuration, and ongoing management of the</w:t>
      </w:r>
      <w:r>
        <w:t xml:space="preserve"> </w:t>
      </w:r>
      <w:r>
        <w:t xml:space="preserve">Astronomer</w:t>
      </w:r>
      <w:r>
        <w:t xml:space="preserve"> </w:t>
      </w:r>
      <w:r>
        <w:t xml:space="preserve">data orchestration platform within the</w:t>
      </w:r>
      <w:r>
        <w:t xml:space="preserve"> </w:t>
      </w:r>
      <w:r>
        <w:t xml:space="preserve">Germany Munich</w:t>
      </w:r>
      <w:r>
        <w:t xml:space="preserve"> </w:t>
      </w:r>
      <w:r>
        <w:t xml:space="preserve">metropolitan area. The Astronomer platform, built upon Apache Airflow, will serve as the central data pipeline orchestration engine for the client's enterprise data operations, enabling scalable, observable, and governed data workflows.</w:t>
      </w:r>
    </w:p>
    <w:p>
      <w:pPr>
        <w:pStyle w:val="BodyText"/>
      </w:pPr>
      <w:r>
        <w:t xml:space="preserve">This Quotation Estimate covers all licensing, infrastructure, professional services, and support costs associated with implementing Astronomer in a production-ready environment tailored to the regulatory and operational requirements specific to Germany Munich, including full compliance with the EU General Data Protection Regulation (GDPR) and the German Federal Data Protection Act (BDSG).</w:t>
      </w:r>
    </w:p>
    <w:bookmarkEnd w:id="23"/>
    <w:bookmarkStart w:id="24" w:name="services-and-deliverables"/>
    <w:p>
      <w:pPr>
        <w:pStyle w:val="Heading2"/>
      </w:pPr>
      <w:r>
        <w:t xml:space="preserve">2. Services and Deliverables</w:t>
      </w:r>
    </w:p>
    <w:p>
      <w:pPr>
        <w:pStyle w:val="FirstParagraph"/>
      </w:pPr>
      <w:r>
        <w:t xml:space="preserve">The following line items constitute the complete scope of work under this Quotation Estimate for the Astronomer deployment in Germany Munich: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Astronomer Enterprise License – Annual Subscription (50 concurrent DAGs, 10 user seats)</w:t>
            </w:r>
          </w:p>
        </w:tc>
        <w:tc>
          <w:tcPr/>
          <w:p>
            <w:pPr>
              <w:pStyle w:val="Compact"/>
              <w:jc w:val="left"/>
            </w:pPr>
            <w:r>
              <w:t xml:space="preserve">12 months</w:t>
            </w:r>
          </w:p>
        </w:tc>
        <w:tc>
          <w:tcPr/>
          <w:p>
            <w:pPr>
              <w:pStyle w:val="Compact"/>
              <w:jc w:val="left"/>
            </w:pPr>
            <w:r>
              <w:t xml:space="preserve">€ 48,000.00</w:t>
            </w:r>
          </w:p>
        </w:tc>
      </w:tr>
      <w:tr>
        <w:tc>
          <w:tcPr/>
          <w:p>
            <w:pPr>
              <w:pStyle w:val="Compact"/>
              <w:jc w:val="left"/>
            </w:pPr>
            <w:r>
              <w:t xml:space="preserve">2.2</w:t>
            </w:r>
          </w:p>
        </w:tc>
        <w:tc>
          <w:tcPr/>
          <w:p>
            <w:pPr>
              <w:pStyle w:val="Compact"/>
              <w:jc w:val="left"/>
            </w:pPr>
            <w:r>
              <w:t xml:space="preserve">Cloud Infrastructure Provisioning (AWS eu-central-1 / Frankfurt region, data residency in Germany)</w:t>
            </w:r>
          </w:p>
        </w:tc>
        <w:tc>
          <w:tcPr/>
          <w:p>
            <w:pPr>
              <w:pStyle w:val="Compact"/>
              <w:jc w:val="left"/>
            </w:pPr>
            <w:r>
              <w:t xml:space="preserve">12 months</w:t>
            </w:r>
          </w:p>
        </w:tc>
        <w:tc>
          <w:tcPr/>
          <w:p>
            <w:pPr>
              <w:pStyle w:val="Compact"/>
              <w:jc w:val="left"/>
            </w:pPr>
            <w:r>
              <w:t xml:space="preserve">€ 36,500.00</w:t>
            </w:r>
          </w:p>
        </w:tc>
      </w:tr>
      <w:tr>
        <w:tc>
          <w:tcPr/>
          <w:p>
            <w:pPr>
              <w:pStyle w:val="Compact"/>
              <w:jc w:val="left"/>
            </w:pPr>
            <w:r>
              <w:t xml:space="preserve">2.3</w:t>
            </w:r>
          </w:p>
        </w:tc>
        <w:tc>
          <w:tcPr/>
          <w:p>
            <w:pPr>
              <w:pStyle w:val="Compact"/>
              <w:jc w:val="left"/>
            </w:pPr>
            <w:r>
              <w:t xml:space="preserve">Initial Deployment &amp; Configuration of Astronomer Platform in Germany Munich office environment</w:t>
            </w:r>
          </w:p>
        </w:tc>
        <w:tc>
          <w:tcPr/>
          <w:p>
            <w:pPr>
              <w:pStyle w:val="Compact"/>
              <w:jc w:val="left"/>
            </w:pPr>
            <w:r>
              <w:t xml:space="preserve">4 weeks</w:t>
            </w:r>
          </w:p>
        </w:tc>
        <w:tc>
          <w:tcPr/>
          <w:p>
            <w:pPr>
              <w:pStyle w:val="Compact"/>
              <w:jc w:val="left"/>
            </w:pPr>
            <w:r>
              <w:t xml:space="preserve">€ 18,750.00</w:t>
            </w:r>
          </w:p>
        </w:tc>
      </w:tr>
      <w:tr>
        <w:tc>
          <w:tcPr/>
          <w:p>
            <w:pPr>
              <w:pStyle w:val="Compact"/>
              <w:jc w:val="left"/>
            </w:pPr>
            <w:r>
              <w:t xml:space="preserve">2.4</w:t>
            </w:r>
          </w:p>
        </w:tc>
        <w:tc>
          <w:tcPr/>
          <w:p>
            <w:pPr>
              <w:pStyle w:val="Compact"/>
              <w:jc w:val="left"/>
            </w:pPr>
            <w:r>
              <w:t xml:space="preserve">Custom DAG Development &amp; Migration (up to 150 existing Airflow workflows)</w:t>
            </w:r>
          </w:p>
        </w:tc>
        <w:tc>
          <w:tcPr/>
          <w:p>
            <w:pPr>
              <w:pStyle w:val="Compact"/>
              <w:jc w:val="left"/>
            </w:pPr>
            <w:r>
              <w:t xml:space="preserve">8 weeks</w:t>
            </w:r>
          </w:p>
        </w:tc>
        <w:tc>
          <w:tcPr/>
          <w:p>
            <w:pPr>
              <w:pStyle w:val="Compact"/>
              <w:jc w:val="left"/>
            </w:pPr>
            <w:r>
              <w:t xml:space="preserve">€ 42,000.00</w:t>
            </w:r>
          </w:p>
        </w:tc>
      </w:tr>
      <w:tr>
        <w:tc>
          <w:tcPr/>
          <w:p>
            <w:pPr>
              <w:pStyle w:val="Compact"/>
              <w:jc w:val="left"/>
            </w:pPr>
            <w:r>
              <w:t xml:space="preserve">2.5</w:t>
            </w:r>
          </w:p>
        </w:tc>
        <w:tc>
          <w:tcPr/>
          <w:p>
            <w:pPr>
              <w:pStyle w:val="Compact"/>
              <w:jc w:val="left"/>
            </w:pPr>
            <w:r>
              <w:t xml:space="preserve">GDPR &amp; BDSG Compliance Configuration – Data Residency, Encryption at Rest/In Transit, Audit Logging</w:t>
            </w:r>
          </w:p>
        </w:tc>
        <w:tc>
          <w:tcPr/>
          <w:p>
            <w:pPr>
              <w:pStyle w:val="Compact"/>
              <w:jc w:val="left"/>
            </w:pPr>
            <w:r>
              <w:t xml:space="preserve">3 weeks</w:t>
            </w:r>
          </w:p>
        </w:tc>
        <w:tc>
          <w:tcPr/>
          <w:p>
            <w:pPr>
              <w:pStyle w:val="Compact"/>
              <w:jc w:val="left"/>
            </w:pPr>
            <w:r>
              <w:t xml:space="preserve">€ 12,500.00</w:t>
            </w:r>
          </w:p>
        </w:tc>
      </w:tr>
      <w:tr>
        <w:tc>
          <w:tcPr/>
          <w:p>
            <w:pPr>
              <w:pStyle w:val="Compact"/>
              <w:jc w:val="left"/>
            </w:pPr>
            <w:r>
              <w:t xml:space="preserve">2.6</w:t>
            </w:r>
          </w:p>
        </w:tc>
        <w:tc>
          <w:tcPr/>
          <w:p>
            <w:pPr>
              <w:pStyle w:val="Compact"/>
              <w:jc w:val="left"/>
            </w:pPr>
            <w:r>
              <w:t xml:space="preserve">Integration with Existing Munich Data Lakehouse (Snowflake / Databricks) and ERP Systems (SAP S/4HANA)</w:t>
            </w:r>
          </w:p>
        </w:tc>
        <w:tc>
          <w:tcPr/>
          <w:p>
            <w:pPr>
              <w:pStyle w:val="Compact"/>
              <w:jc w:val="left"/>
            </w:pPr>
            <w:r>
              <w:t xml:space="preserve">4 weeks</w:t>
            </w:r>
          </w:p>
        </w:tc>
        <w:tc>
          <w:tcPr/>
          <w:p>
            <w:pPr>
              <w:pStyle w:val="Compact"/>
              <w:jc w:val="left"/>
            </w:pPr>
            <w:r>
              <w:t xml:space="preserve">€ 15,200.00</w:t>
            </w:r>
          </w:p>
        </w:tc>
      </w:tr>
      <w:tr>
        <w:tc>
          <w:tcPr/>
          <w:p>
            <w:pPr>
              <w:pStyle w:val="Compact"/>
              <w:jc w:val="left"/>
            </w:pPr>
            <w:r>
              <w:t xml:space="preserve">2.7</w:t>
            </w:r>
          </w:p>
        </w:tc>
        <w:tc>
          <w:tcPr/>
          <w:p>
            <w:pPr>
              <w:pStyle w:val="Compact"/>
              <w:jc w:val="left"/>
            </w:pPr>
            <w:r>
              <w:t xml:space="preserve">Team Training &amp; Knowledge Transfer (5-day on-site workshop in Munich, 12 participants)</w:t>
            </w:r>
          </w:p>
        </w:tc>
        <w:tc>
          <w:tcPr/>
          <w:p>
            <w:pPr>
              <w:pStyle w:val="Compact"/>
              <w:jc w:val="left"/>
            </w:pPr>
            <w:r>
              <w:t xml:space="preserve">5 days</w:t>
            </w:r>
          </w:p>
        </w:tc>
        <w:tc>
          <w:tcPr/>
          <w:p>
            <w:pPr>
              <w:pStyle w:val="Compact"/>
              <w:jc w:val="left"/>
            </w:pPr>
            <w:r>
              <w:t xml:space="preserve">€ 9,600.00</w:t>
            </w:r>
          </w:p>
        </w:tc>
      </w:tr>
      <w:tr>
        <w:tc>
          <w:tcPr/>
          <w:p>
            <w:pPr>
              <w:pStyle w:val="Compact"/>
              <w:jc w:val="left"/>
            </w:pPr>
            <w:r>
              <w:t xml:space="preserve">2.8</w:t>
            </w:r>
          </w:p>
        </w:tc>
        <w:tc>
          <w:tcPr/>
          <w:p>
            <w:pPr>
              <w:pStyle w:val="Compact"/>
              <w:jc w:val="left"/>
            </w:pPr>
            <w:r>
              <w:t xml:space="preserve">Ongoing Managed Support &amp; Monitoring (24/7, German-speaking support desk, SLA 99.9%)</w:t>
            </w:r>
          </w:p>
        </w:tc>
        <w:tc>
          <w:tcPr/>
          <w:p>
            <w:pPr>
              <w:pStyle w:val="Compact"/>
              <w:jc w:val="left"/>
            </w:pPr>
            <w:r>
              <w:t xml:space="preserve">12 months</w:t>
            </w:r>
          </w:p>
        </w:tc>
        <w:tc>
          <w:tcPr/>
          <w:p>
            <w:pPr>
              <w:pStyle w:val="Compact"/>
              <w:jc w:val="left"/>
            </w:pPr>
            <w:r>
              <w:t xml:space="preserve">€ 24,000.00</w:t>
            </w:r>
          </w:p>
        </w:tc>
      </w:tr>
      <w:tr>
        <w:tc>
          <w:tcPr/>
          <w:p>
            <w:pPr>
              <w:pStyle w:val="Compact"/>
              <w:jc w:val="left"/>
            </w:pPr>
            <w:r>
              <w:t xml:space="preserve">2.9</w:t>
            </w:r>
          </w:p>
        </w:tc>
        <w:tc>
          <w:tcPr/>
          <w:p>
            <w:pPr>
              <w:pStyle w:val="Compact"/>
              <w:jc w:val="left"/>
            </w:pPr>
            <w:r>
              <w:t xml:space="preserve">Quarterly Architecture Reviews &amp; Performance Optimization (4 sessions per year)</w:t>
            </w:r>
          </w:p>
        </w:tc>
        <w:tc>
          <w:tcPr/>
          <w:p>
            <w:pPr>
              <w:pStyle w:val="Compact"/>
              <w:jc w:val="left"/>
            </w:pPr>
            <w:r>
              <w:t xml:space="preserve">12 months</w:t>
            </w:r>
          </w:p>
        </w:tc>
        <w:tc>
          <w:tcPr/>
          <w:p>
            <w:pPr>
              <w:pStyle w:val="Compact"/>
              <w:jc w:val="left"/>
            </w:pPr>
            <w:r>
              <w:t xml:space="preserve">€ 8,000.00</w:t>
            </w:r>
          </w:p>
        </w:tc>
      </w:tr>
      <w:tr>
        <w:tc>
          <w:tcPr>
            <w:gridSpan w:val="3"/>
          </w:tcPr>
          <w:p>
            <w:pPr>
              <w:pStyle w:val="Compact"/>
              <w:jc w:val="left"/>
            </w:pPr>
            <w:r>
              <w:t xml:space="preserve">Subtotal (excl. VAT)</w:t>
            </w:r>
          </w:p>
        </w:tc>
        <w:tc>
          <w:tcPr/>
          <w:p>
            <w:pPr>
              <w:pStyle w:val="Compact"/>
              <w:jc w:val="left"/>
            </w:pPr>
            <w:r>
              <w:t xml:space="preserve">€ 214,550.00</w:t>
            </w:r>
          </w:p>
        </w:tc>
      </w:tr>
      <w:tr>
        <w:tc>
          <w:tcPr>
            <w:gridSpan w:val="3"/>
          </w:tcPr>
          <w:p>
            <w:pPr>
              <w:pStyle w:val="Compact"/>
              <w:jc w:val="left"/>
            </w:pPr>
            <w:r>
              <w:t xml:space="preserve">VAT (19% – Germany)</w:t>
            </w:r>
          </w:p>
        </w:tc>
        <w:tc>
          <w:tcPr/>
          <w:p>
            <w:pPr>
              <w:pStyle w:val="Compact"/>
              <w:jc w:val="left"/>
            </w:pPr>
            <w:r>
              <w:t xml:space="preserve">€ 40,764.50</w:t>
            </w:r>
          </w:p>
        </w:tc>
      </w:tr>
      <w:tr>
        <w:tc>
          <w:tcPr>
            <w:gridSpan w:val="3"/>
          </w:tcPr>
          <w:p>
            <w:pPr>
              <w:pStyle w:val="Compact"/>
              <w:jc w:val="left"/>
            </w:pPr>
            <w:r>
              <w:t xml:space="preserve">Total (incl. VAT)</w:t>
            </w:r>
          </w:p>
        </w:tc>
        <w:tc>
          <w:tcPr/>
          <w:p>
            <w:pPr>
              <w:pStyle w:val="Compact"/>
              <w:jc w:val="left"/>
            </w:pPr>
            <w:r>
              <w:t xml:space="preserve">€ 255,314.50</w:t>
            </w:r>
          </w:p>
        </w:tc>
      </w:tr>
    </w:tbl>
    <w:bookmarkEnd w:id="24"/>
    <w:bookmarkStart w:id="25" w:name="X114c1dc0cf8c4e037c172211ea6de56ef6e01c6"/>
    <w:p>
      <w:pPr>
        <w:pStyle w:val="Heading2"/>
      </w:pPr>
      <w:r>
        <w:t xml:space="preserve">3. Technical Specifications – Astronomer Platform in Germany Munich</w:t>
      </w:r>
    </w:p>
    <w:p>
      <w:pPr>
        <w:pStyle w:val="FirstParagraph"/>
      </w:pPr>
      <w:r>
        <w:t xml:space="preserve">The Astronomer platform will be deployed using the Astronomer Enterprise offering, configured for a multi-tenant architecture within the AWS eu-central-1 region to ensure data sovereignty and compliance with German data protection laws. All Astronomer metadata, DAG definitions, execution logs, and user credentials will reside exclusively within German data centres, satisfying the requirements of the German Federal Network Agency (Bundesnetzagentur) and the Munich-based data governance policies of the client.</w:t>
      </w:r>
    </w:p>
    <w:p>
      <w:pPr>
        <w:pStyle w:val="BodyText"/>
      </w:pPr>
      <w:r>
        <w:t xml:space="preserve">The deployment will include Astronomer's built-in data observability features, enabling real-time monitoring of pipeline health, SLA tracking, and automated alerting. The platform will be integrated with the client's existing identity provider (Azure AD) for single sign-on, and all access will be governed through role-based access control (RBAC) aligned with the client's internal security policies in Munich.</w:t>
      </w:r>
    </w:p>
    <w:bookmarkEnd w:id="25"/>
    <w:bookmarkStart w:id="26" w:name="project-timeline"/>
    <w:p>
      <w:pPr>
        <w:pStyle w:val="Heading2"/>
      </w:pPr>
      <w:r>
        <w:t xml:space="preserve">4. Project Timeline</w:t>
      </w:r>
    </w:p>
    <w:p>
      <w:pPr>
        <w:pStyle w:val="FirstParagraph"/>
      </w:pPr>
      <w:r>
        <w:t xml:space="preserve">Subject to client approval of this Quotation Estimate, the Astronomer implementation in Germany Munich will follow the following phased timeline:</w:t>
      </w:r>
    </w:p>
    <w:p>
      <w:pPr>
        <w:numPr>
          <w:ilvl w:val="0"/>
          <w:numId w:val="1001"/>
        </w:numPr>
        <w:pStyle w:val="Compact"/>
      </w:pPr>
      <w:r>
        <w:rPr>
          <w:bCs/>
          <w:b/>
        </w:rPr>
        <w:t xml:space="preserve">Phase 1 (Weeks 1–4):</w:t>
      </w:r>
      <w:r>
        <w:t xml:space="preserve"> </w:t>
      </w:r>
      <w:r>
        <w:t xml:space="preserve">Infrastructure provisioning, Astronomer platform installation, and initial configuration in the Munich data centre environment.</w:t>
      </w:r>
    </w:p>
    <w:p>
      <w:pPr>
        <w:numPr>
          <w:ilvl w:val="0"/>
          <w:numId w:val="1001"/>
        </w:numPr>
        <w:pStyle w:val="Compact"/>
      </w:pPr>
      <w:r>
        <w:rPr>
          <w:bCs/>
          <w:b/>
        </w:rPr>
        <w:t xml:space="preserve">Phase 2 (Weeks 5–12):</w:t>
      </w:r>
      <w:r>
        <w:t xml:space="preserve"> </w:t>
      </w:r>
      <w:r>
        <w:t xml:space="preserve">DAG migration, custom workflow development, and integration with existing data platforms.</w:t>
      </w:r>
    </w:p>
    <w:p>
      <w:pPr>
        <w:numPr>
          <w:ilvl w:val="0"/>
          <w:numId w:val="1001"/>
        </w:numPr>
        <w:pStyle w:val="Compact"/>
      </w:pPr>
      <w:r>
        <w:rPr>
          <w:bCs/>
          <w:b/>
        </w:rPr>
        <w:t xml:space="preserve">Phase 3 (Weeks 13–15):</w:t>
      </w:r>
      <w:r>
        <w:t xml:space="preserve"> </w:t>
      </w:r>
      <w:r>
        <w:t xml:space="preserve">GDPR/BDSG compliance hardening, security penetration testing, and audit log verification.</w:t>
      </w:r>
    </w:p>
    <w:p>
      <w:pPr>
        <w:numPr>
          <w:ilvl w:val="0"/>
          <w:numId w:val="1001"/>
        </w:numPr>
        <w:pStyle w:val="Compact"/>
      </w:pPr>
      <w:r>
        <w:rPr>
          <w:bCs/>
          <w:b/>
        </w:rPr>
        <w:t xml:space="preserve">Phase 4 (Weeks 16–18):</w:t>
      </w:r>
      <w:r>
        <w:t xml:space="preserve"> </w:t>
      </w:r>
      <w:r>
        <w:t xml:space="preserve">User acceptance testing (UAT), on-site training in Munich, and go-live cutover.</w:t>
      </w:r>
    </w:p>
    <w:p>
      <w:pPr>
        <w:numPr>
          <w:ilvl w:val="0"/>
          <w:numId w:val="1001"/>
        </w:numPr>
        <w:pStyle w:val="Compact"/>
      </w:pPr>
      <w:r>
        <w:rPr>
          <w:bCs/>
          <w:b/>
        </w:rPr>
        <w:t xml:space="preserve">Phase 5 (Ongoing):</w:t>
      </w:r>
      <w:r>
        <w:t xml:space="preserve"> </w:t>
      </w:r>
      <w:r>
        <w:t xml:space="preserve">Managed support, quarterly reviews, and continuous optimization.</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the validity period, pricing for Astronomer licensing and infrastructure costs may be subject to revision.</w:t>
      </w:r>
    </w:p>
    <w:p>
      <w:pPr>
        <w:numPr>
          <w:ilvl w:val="0"/>
          <w:numId w:val="1002"/>
        </w:numPr>
        <w:pStyle w:val="Compact"/>
      </w:pPr>
      <w:r>
        <w:t xml:space="preserve">All prices are quoted in Euro (EUR) and are subject to 19% German Value Added Tax (Mehrwertsteuer / VAT) as applicable under German tax law.</w:t>
      </w:r>
    </w:p>
    <w:p>
      <w:pPr>
        <w:numPr>
          <w:ilvl w:val="0"/>
          <w:numId w:val="1002"/>
        </w:numPr>
        <w:pStyle w:val="Compact"/>
      </w:pPr>
      <w:r>
        <w:t xml:space="preserve">Payment terms: 30% upon contract signing, 40% upon completion of Phase 2, and 30% upon successful go-live and UAT sign-off in Munich.</w:t>
      </w:r>
    </w:p>
    <w:p>
      <w:pPr>
        <w:numPr>
          <w:ilvl w:val="0"/>
          <w:numId w:val="1002"/>
        </w:numPr>
        <w:pStyle w:val="Compact"/>
      </w:pPr>
      <w:r>
        <w:t xml:space="preserve">All Astronomer platform data will be stored and processed exclusively within Germany, in compliance with GDPR Articles 44–49 and the German BDSG. No data will be transferred to jurisdictions outside the European Economic Area (EEA).</w:t>
      </w:r>
    </w:p>
    <w:p>
      <w:pPr>
        <w:numPr>
          <w:ilvl w:val="0"/>
          <w:numId w:val="1002"/>
        </w:numPr>
        <w:pStyle w:val="Compact"/>
      </w:pPr>
      <w:r>
        <w:t xml:space="preserve">Intellectual property: All custom DAGs, connectors, and configurations developed under this engagement will be the sole property of the client upon full payment.</w:t>
      </w:r>
    </w:p>
    <w:p>
      <w:pPr>
        <w:numPr>
          <w:ilvl w:val="0"/>
          <w:numId w:val="1002"/>
        </w:numPr>
        <w:pStyle w:val="Compact"/>
      </w:pPr>
      <w:r>
        <w:t xml:space="preserve">Warranty: DataFlow Solutions GmbH provides a 12-month warranty on all professional services rendered. Astronomer platform warranty is governed by the separate Astronomer Enterprise Service Agreement.</w:t>
      </w:r>
    </w:p>
    <w:p>
      <w:pPr>
        <w:numPr>
          <w:ilvl w:val="0"/>
          <w:numId w:val="1002"/>
        </w:numPr>
        <w:pStyle w:val="Compact"/>
      </w:pPr>
      <w:r>
        <w:t xml:space="preserve">Force Majeure: Neither party shall be liable for delays caused by events beyond reasonable control, including but not limited to natural disasters, government actions, or cross-border regulatory changes affecting Germany Munich operations.</w:t>
      </w:r>
    </w:p>
    <w:p>
      <w:pPr>
        <w:numPr>
          <w:ilvl w:val="0"/>
          <w:numId w:val="1002"/>
        </w:numPr>
        <w:pStyle w:val="Compact"/>
      </w:pPr>
      <w:r>
        <w:t xml:space="preserve">Governing Law: This Quotation Estimate and any resulting contract shall be governed by the laws of the Federal Republic of Germany. Disputes shall be resolved by the competent courts in Munich, Bavaria.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scope, and pricing outlined in this Quotation Estimate for the Astronomer platform deployment in Germany Munich. This document, once countersigned, constitutes a binding agreement between the parties.</w:t>
      </w:r>
    </w:p>
    <w:bookmarkEnd w:id="28"/>
    <w:p>
      <w:pPr>
        <w:pStyle w:val="BodyText"/>
      </w:pPr>
      <w:r>
        <w:rPr>
          <w:bCs/>
          <w:b/>
        </w:rPr>
        <w:t xml:space="preserve">For DataFlow Solutions GmbH</w:t>
      </w:r>
    </w:p>
    <w:p>
      <w:pPr>
        <w:pStyle w:val="BodyText"/>
      </w:pPr>
      <w:r>
        <w:t xml:space="preserve">Name: Dr. Markus Weber</w:t>
      </w:r>
      <w:r>
        <w:br/>
      </w:r>
      <w:r>
        <w:t xml:space="preserve">Title: Managing Director</w:t>
      </w:r>
      <w:r>
        <w:br/>
      </w:r>
      <w:r>
        <w:t xml:space="preserve">Date: _______________</w:t>
      </w:r>
    </w:p>
    <w:p>
      <w:pPr>
        <w:pStyle w:val="BodyText"/>
      </w:pPr>
      <w:r>
        <w:rPr>
          <w:bCs/>
          <w:b/>
        </w:rPr>
        <w:t xml:space="preserve">For [Client Name] GmbH</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No. QTE-2025-MUC-0472 | DataFlow Solutions GmbH | Maximilianstraße 42, 80539 Munich, Germany</w:t>
      </w:r>
    </w:p>
    <w:p>
      <w:pPr>
        <w:pStyle w:val="BodyText"/>
      </w:pPr>
      <w:r>
        <w:t xml:space="preserve">Registered at: Amtsgericht München, HRB 123456 | USt-IdNr.: DE 987654321</w:t>
      </w:r>
    </w:p>
    <w:p>
      <w:pPr>
        <w:pStyle w:val="BodyText"/>
      </w:pPr>
      <w:r>
        <w:t xml:space="preserve">This Quotation Estimate regarding the Astronomer platform deployment in Germany Munich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Platform - Germany Munich</dc:title>
  <dc:creator/>
  <dc:language>en</dc:language>
  <cp:keywords/>
  <dcterms:created xsi:type="dcterms:W3CDTF">2026-10-10T02:16:43Z</dcterms:created>
  <dcterms:modified xsi:type="dcterms:W3CDTF">2026-10-10T02:16:43Z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