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Iran</w:t>
      </w:r>
      <w:r>
        <w:t xml:space="preserve"> </w:t>
      </w:r>
      <w:r>
        <w:t xml:space="preserve">Tehran</w:t>
      </w:r>
    </w:p>
    <w:bookmarkStart w:id="21" w:name="quotation-estimate"/>
    <w:p>
      <w:pPr>
        <w:pStyle w:val="Heading1"/>
      </w:pPr>
      <w:r>
        <w:t xml:space="preserve">QUOTATION ESTIMATE</w:t>
      </w:r>
    </w:p>
    <w:bookmarkStart w:id="20" w:name="X02d1161e3e48f5cd9fc5889090daffb8e3f9f05"/>
    <w:p>
      <w:pPr>
        <w:pStyle w:val="Heading2"/>
      </w:pPr>
      <w:r>
        <w:t xml:space="preserve">Professional Astronomer Services — Iran Tehran</w:t>
      </w:r>
    </w:p>
    <w:p>
      <w:pPr>
        <w:pStyle w:val="FirstParagraph"/>
      </w:pPr>
      <w:r>
        <w:t xml:space="preserve">Issued by: Persian Celestial Research &amp; Consulting Group (PCRCG)</w:t>
      </w:r>
    </w:p>
    <w:p>
      <w:pPr>
        <w:pStyle w:val="BodyText"/>
      </w:pPr>
      <w:r>
        <w:t xml:space="preserve">Address: 42 Enghelab Avenue, Valiasr Street, Tehran, Iran — Postal Code: 14186-35721</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PCRCG-2025-AST-0047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 from date of issue)</w:t>
            </w:r>
          </w:p>
        </w:tc>
      </w:tr>
      <w:tr>
        <w:tc>
          <w:tcPr/>
          <w:p>
            <w:pPr>
              <w:pStyle w:val="Compact"/>
              <w:jc w:val="left"/>
            </w:pPr>
            <w:r>
              <w:t xml:space="preserve">Client / Recipient</w:t>
            </w:r>
          </w:p>
        </w:tc>
        <w:tc>
          <w:tcPr/>
          <w:p>
            <w:pPr>
              <w:pStyle w:val="Compact"/>
              <w:jc w:val="left"/>
            </w:pPr>
            <w:r>
              <w:t xml:space="preserve">Islamic Azad University, Science &amp; Research Branch, Department of Astrophysics, Tehran, Iran</w:t>
            </w:r>
          </w:p>
        </w:tc>
      </w:tr>
      <w:tr>
        <w:tc>
          <w:tcPr/>
          <w:p>
            <w:pPr>
              <w:pStyle w:val="Compact"/>
              <w:jc w:val="left"/>
            </w:pPr>
            <w:r>
              <w:t xml:space="preserve">Project Reference</w:t>
            </w:r>
          </w:p>
        </w:tc>
        <w:tc>
          <w:tcPr/>
          <w:p>
            <w:pPr>
              <w:pStyle w:val="Compact"/>
              <w:jc w:val="left"/>
            </w:pPr>
            <w:r>
              <w:t xml:space="preserve">Engagement of a Senior Astronomer for Observational Research &amp; Academic Supervision — Iran Tehran Campus</w:t>
            </w:r>
          </w:p>
        </w:tc>
      </w:tr>
      <w:tr>
        <w:tc>
          <w:tcPr/>
          <w:p>
            <w:pPr>
              <w:pStyle w:val="Compact"/>
              <w:jc w:val="left"/>
            </w:pPr>
            <w:r>
              <w:t xml:space="preserve">Currency</w:t>
            </w:r>
          </w:p>
        </w:tc>
        <w:tc>
          <w:tcPr/>
          <w:p>
            <w:pPr>
              <w:pStyle w:val="Compact"/>
              <w:jc w:val="left"/>
            </w:pPr>
            <w:r>
              <w:t xml:space="preserve">Iranian Rial (IRR) / US Dollar (USD) equivalent</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prepared by the Persian Celestial Research &amp; Consulting Group to present the comprehensive cost structure for the professional engagement of a qualified</w:t>
      </w:r>
      <w:r>
        <w:t xml:space="preserve"> </w:t>
      </w:r>
      <w:r>
        <w:t xml:space="preserve">Astronomer</w:t>
      </w:r>
      <w:r>
        <w:t xml:space="preserve"> </w:t>
      </w:r>
      <w:r>
        <w:t xml:space="preserve">to be stationed and operational in</w:t>
      </w:r>
      <w:r>
        <w:t xml:space="preserve"> </w:t>
      </w:r>
      <w:r>
        <w:t xml:space="preserve">Iran Tehran</w:t>
      </w:r>
      <w:r>
        <w:t xml:space="preserve">. The scope of this engagement encompasses observational astronomy research, academic supervision of graduate students, instrument calibration at the Tehran Observatory, and collaborative publications with international partners. All pricing, terms, and conditions outlined in this document are binding upon mutual acceptance and are subject to the regulatory framework governing scientific personnel in the Islamic Republic of Iran.</w:t>
      </w:r>
    </w:p>
    <w:bookmarkEnd w:id="22"/>
    <w:bookmarkStart w:id="23" w:name="X5ad7249bad08c286a28b8f56058bc5c1adbdc5b"/>
    <w:p>
      <w:pPr>
        <w:pStyle w:val="Heading3"/>
      </w:pPr>
      <w:r>
        <w:t xml:space="preserve">2. Scope of Services — Astronomer Engagement in Iran Tehran</w:t>
      </w:r>
    </w:p>
    <w:p>
      <w:pPr>
        <w:pStyle w:val="FirstParagraph"/>
      </w:pPr>
      <w:r>
        <w:t xml:space="preserve">The</w:t>
      </w:r>
      <w:r>
        <w:t xml:space="preserve"> </w:t>
      </w:r>
      <w:r>
        <w:t xml:space="preserve">Astronomer</w:t>
      </w:r>
      <w:r>
        <w:t xml:space="preserve"> </w:t>
      </w:r>
      <w:r>
        <w:t xml:space="preserve">to be engaged under this</w:t>
      </w:r>
      <w:r>
        <w:t xml:space="preserve"> </w:t>
      </w:r>
      <w:r>
        <w:t xml:space="preserve">Quotation Estimate</w:t>
      </w:r>
      <w:r>
        <w:t xml:space="preserve"> </w:t>
      </w:r>
      <w:r>
        <w:t xml:space="preserve">shall perform the following duties within the</w:t>
      </w:r>
      <w:r>
        <w:t xml:space="preserve"> </w:t>
      </w:r>
      <w:r>
        <w:t xml:space="preserve">Iran Tehran</w:t>
      </w:r>
      <w:r>
        <w:t xml:space="preserve"> </w:t>
      </w:r>
      <w:r>
        <w:t xml:space="preserve">metropolitan area and its surrounding observatory facilities:</w:t>
      </w:r>
    </w:p>
    <w:p>
      <w:pPr>
        <w:numPr>
          <w:ilvl w:val="0"/>
          <w:numId w:val="1001"/>
        </w:numPr>
        <w:pStyle w:val="Compact"/>
      </w:pPr>
      <w:r>
        <w:t xml:space="preserve">Conduct nightly observational sessions at the Tehran University Observatory and the Shahin Observatory (located in the Alborz mountain range, approximately 60 km northwest of central Tehran).</w:t>
      </w:r>
    </w:p>
    <w:p>
      <w:pPr>
        <w:numPr>
          <w:ilvl w:val="0"/>
          <w:numId w:val="1001"/>
        </w:numPr>
        <w:pStyle w:val="Compact"/>
      </w:pPr>
      <w:r>
        <w:t xml:space="preserve">Supervise a cohort of no fewer than eight (8) Master's and PhD students in the fields of stellar astrophysics, exoplanet detection, and radio astronomy.</w:t>
      </w:r>
    </w:p>
    <w:p>
      <w:pPr>
        <w:numPr>
          <w:ilvl w:val="0"/>
          <w:numId w:val="1001"/>
        </w:numPr>
        <w:pStyle w:val="Compact"/>
      </w:pPr>
      <w:r>
        <w:t xml:space="preserve">Calibrate and maintain the 1.5-meter optical telescope and the 25-meter radio dish antenna at the designated</w:t>
      </w:r>
      <w:r>
        <w:t xml:space="preserve"> </w:t>
      </w:r>
      <w:r>
        <w:t xml:space="preserve">Iran Tehran</w:t>
      </w:r>
      <w:r>
        <w:t xml:space="preserve"> </w:t>
      </w:r>
      <w:r>
        <w:t xml:space="preserve">research sites.</w:t>
      </w:r>
    </w:p>
    <w:p>
      <w:pPr>
        <w:numPr>
          <w:ilvl w:val="0"/>
          <w:numId w:val="1001"/>
        </w:numPr>
        <w:pStyle w:val="Compact"/>
      </w:pPr>
      <w:r>
        <w:t xml:space="preserve">Author a minimum of three (3) peer-reviewed journal articles per academic year in collaboration with the host institution.</w:t>
      </w:r>
    </w:p>
    <w:p>
      <w:pPr>
        <w:numPr>
          <w:ilvl w:val="0"/>
          <w:numId w:val="1001"/>
        </w:numPr>
        <w:pStyle w:val="Compact"/>
      </w:pPr>
      <w:r>
        <w:t xml:space="preserve">Deliver a minimum of two (2) public science-communication lectures per semester at the</w:t>
      </w:r>
      <w:r>
        <w:t xml:space="preserve"> </w:t>
      </w:r>
      <w:r>
        <w:t xml:space="preserve">Iran Tehran</w:t>
      </w:r>
      <w:r>
        <w:t xml:space="preserve"> </w:t>
      </w:r>
      <w:r>
        <w:t xml:space="preserve">Science Museum and affiliated cultural centers.</w:t>
      </w:r>
    </w:p>
    <w:p>
      <w:pPr>
        <w:numPr>
          <w:ilvl w:val="0"/>
          <w:numId w:val="1001"/>
        </w:numPr>
        <w:pStyle w:val="Compact"/>
      </w:pPr>
      <w:r>
        <w:t xml:space="preserve">Coordinate with the Iranian National Astronomy and Astrophysics Research Institute (NARI) for data-sharing agreements and joint observation campaigns.</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Astronomer — Monthly Professional Fee (including housing allowance in Iran Tehran)</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02</w:t>
            </w:r>
          </w:p>
        </w:tc>
        <w:tc>
          <w:tcPr/>
          <w:p>
            <w:pPr>
              <w:pStyle w:val="Compact"/>
              <w:jc w:val="left"/>
            </w:pPr>
            <w:r>
              <w:t xml:space="preserve">Academic Supervision &amp; Mentorship Stipend (graduate student oversight)</w:t>
            </w:r>
          </w:p>
        </w:tc>
        <w:tc>
          <w:tcPr/>
          <w:p>
            <w:pPr>
              <w:pStyle w:val="Compact"/>
              <w:jc w:val="left"/>
            </w:pPr>
            <w:r>
              <w:t xml:space="preserve">12 months</w:t>
            </w:r>
          </w:p>
        </w:tc>
        <w:tc>
          <w:tcPr/>
          <w:p>
            <w:pPr>
              <w:pStyle w:val="Compact"/>
              <w:jc w:val="left"/>
            </w:pPr>
            <w:r>
              <w:t xml:space="preserve">$1,200</w:t>
            </w:r>
          </w:p>
        </w:tc>
        <w:tc>
          <w:tcPr/>
          <w:p>
            <w:pPr>
              <w:pStyle w:val="Compact"/>
              <w:jc w:val="left"/>
            </w:pPr>
            <w:r>
              <w:t xml:space="preserve">$14,400</w:t>
            </w:r>
          </w:p>
        </w:tc>
      </w:tr>
      <w:tr>
        <w:tc>
          <w:tcPr/>
          <w:p>
            <w:pPr>
              <w:pStyle w:val="Compact"/>
              <w:jc w:val="left"/>
            </w:pPr>
            <w:r>
              <w:t xml:space="preserve">03</w:t>
            </w:r>
          </w:p>
        </w:tc>
        <w:tc>
          <w:tcPr/>
          <w:p>
            <w:pPr>
              <w:pStyle w:val="Compact"/>
              <w:jc w:val="left"/>
            </w:pPr>
            <w:r>
              <w:t xml:space="preserve">Observatory Instrument Calibration &amp; Maintenance Allowance</w:t>
            </w:r>
          </w:p>
        </w:tc>
        <w:tc>
          <w:tcPr/>
          <w:p>
            <w:pPr>
              <w:pStyle w:val="Compact"/>
              <w:jc w:val="left"/>
            </w:pPr>
            <w:r>
              <w:t xml:space="preserve">12 months</w:t>
            </w:r>
          </w:p>
        </w:tc>
        <w:tc>
          <w:tcPr/>
          <w:p>
            <w:pPr>
              <w:pStyle w:val="Compact"/>
              <w:jc w:val="left"/>
            </w:pPr>
            <w:r>
              <w:t xml:space="preserve">$800</w:t>
            </w:r>
          </w:p>
        </w:tc>
        <w:tc>
          <w:tcPr/>
          <w:p>
            <w:pPr>
              <w:pStyle w:val="Compact"/>
              <w:jc w:val="left"/>
            </w:pPr>
            <w:r>
              <w:t xml:space="preserve">$9,600</w:t>
            </w:r>
          </w:p>
        </w:tc>
      </w:tr>
      <w:tr>
        <w:tc>
          <w:tcPr/>
          <w:p>
            <w:pPr>
              <w:pStyle w:val="Compact"/>
              <w:jc w:val="left"/>
            </w:pPr>
            <w:r>
              <w:t xml:space="preserve">04</w:t>
            </w:r>
          </w:p>
        </w:tc>
        <w:tc>
          <w:tcPr/>
          <w:p>
            <w:pPr>
              <w:pStyle w:val="Compact"/>
              <w:jc w:val="left"/>
            </w:pPr>
            <w:r>
              <w:t xml:space="preserve">Research Materials, Software Licenses &amp; Data Storage (cloud &amp; on-premise)</w:t>
            </w:r>
          </w:p>
        </w:tc>
        <w:tc>
          <w:tcPr/>
          <w:p>
            <w:pPr>
              <w:pStyle w:val="Compact"/>
              <w:jc w:val="left"/>
            </w:pPr>
            <w:r>
              <w:t xml:space="preserve">12 months</w:t>
            </w:r>
          </w:p>
        </w:tc>
        <w:tc>
          <w:tcPr/>
          <w:p>
            <w:pPr>
              <w:pStyle w:val="Compact"/>
              <w:jc w:val="left"/>
            </w:pPr>
            <w:r>
              <w:t xml:space="preserve">$2,000</w:t>
            </w:r>
          </w:p>
        </w:tc>
        <w:tc>
          <w:tcPr/>
          <w:p>
            <w:pPr>
              <w:pStyle w:val="Compact"/>
              <w:jc w:val="left"/>
            </w:pPr>
            <w:r>
              <w:t xml:space="preserve">$24,000</w:t>
            </w:r>
          </w:p>
        </w:tc>
      </w:tr>
      <w:tr>
        <w:tc>
          <w:tcPr/>
          <w:p>
            <w:pPr>
              <w:pStyle w:val="Compact"/>
              <w:jc w:val="left"/>
            </w:pPr>
            <w:r>
              <w:t xml:space="preserve">05</w:t>
            </w:r>
          </w:p>
        </w:tc>
        <w:tc>
          <w:tcPr/>
          <w:p>
            <w:pPr>
              <w:pStyle w:val="Compact"/>
              <w:jc w:val="left"/>
            </w:pPr>
            <w:r>
              <w:t xml:space="preserve">Publication &amp; Conference Presentation Subsidy (up to 3 papers + 2 conferences)</w:t>
            </w:r>
          </w:p>
        </w:tc>
        <w:tc>
          <w:tcPr/>
          <w:p>
            <w:pPr>
              <w:pStyle w:val="Compact"/>
              <w:jc w:val="left"/>
            </w:pPr>
            <w:r>
              <w:t xml:space="preserve">Per year</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06</w:t>
            </w:r>
          </w:p>
        </w:tc>
        <w:tc>
          <w:tcPr/>
          <w:p>
            <w:pPr>
              <w:pStyle w:val="Compact"/>
              <w:jc w:val="left"/>
            </w:pPr>
            <w:r>
              <w:t xml:space="preserve">Relocation, Visa Processing &amp; Work Permit (Iran Tehran entry &amp; residency)</w:t>
            </w:r>
          </w:p>
        </w:tc>
        <w:tc>
          <w:tcPr/>
          <w:p>
            <w:pPr>
              <w:pStyle w:val="Compact"/>
              <w:jc w:val="left"/>
            </w:pPr>
            <w:r>
              <w:t xml:space="preserve">One-time</w:t>
            </w:r>
          </w:p>
        </w:tc>
        <w:tc>
          <w:tcPr/>
          <w:p>
            <w:pPr>
              <w:pStyle w:val="Compact"/>
              <w:jc w:val="left"/>
            </w:pPr>
            <w:r>
              <w:t xml:space="preserve">$2,800</w:t>
            </w:r>
          </w:p>
        </w:tc>
        <w:tc>
          <w:tcPr/>
          <w:p>
            <w:pPr>
              <w:pStyle w:val="Compact"/>
              <w:jc w:val="left"/>
            </w:pPr>
            <w:r>
              <w:t xml:space="preserve">$2,800</w:t>
            </w:r>
          </w:p>
        </w:tc>
      </w:tr>
      <w:tr>
        <w:tc>
          <w:tcPr/>
          <w:p>
            <w:pPr>
              <w:pStyle w:val="Compact"/>
              <w:jc w:val="left"/>
            </w:pPr>
            <w:r>
              <w:t xml:space="preserve">07</w:t>
            </w:r>
          </w:p>
        </w:tc>
        <w:tc>
          <w:tcPr/>
          <w:p>
            <w:pPr>
              <w:pStyle w:val="Compact"/>
              <w:jc w:val="left"/>
            </w:pPr>
            <w:r>
              <w:t xml:space="preserve">Health Insurance &amp; Liability Coverage (compliant with Iranian labor regulations)</w:t>
            </w:r>
          </w:p>
        </w:tc>
        <w:tc>
          <w:tcPr/>
          <w:p>
            <w:pPr>
              <w:pStyle w:val="Compact"/>
              <w:jc w:val="left"/>
            </w:pPr>
            <w:r>
              <w:t xml:space="preserve">12 months</w:t>
            </w:r>
          </w:p>
        </w:tc>
        <w:tc>
          <w:tcPr/>
          <w:p>
            <w:pPr>
              <w:pStyle w:val="Compact"/>
              <w:jc w:val="left"/>
            </w:pPr>
            <w:r>
              <w:t xml:space="preserve">$1,500</w:t>
            </w:r>
          </w:p>
        </w:tc>
        <w:tc>
          <w:tcPr/>
          <w:p>
            <w:pPr>
              <w:pStyle w:val="Compact"/>
              <w:jc w:val="left"/>
            </w:pPr>
            <w:r>
              <w:t xml:space="preserve">$18,000</w:t>
            </w:r>
          </w:p>
        </w:tc>
      </w:tr>
      <w:tr>
        <w:tc>
          <w:tcPr/>
          <w:p>
            <w:pPr>
              <w:pStyle w:val="Compact"/>
              <w:jc w:val="left"/>
            </w:pPr>
            <w:r>
              <w:t xml:space="preserve">08</w:t>
            </w:r>
          </w:p>
        </w:tc>
        <w:tc>
          <w:tcPr/>
          <w:p>
            <w:pPr>
              <w:pStyle w:val="Compact"/>
              <w:jc w:val="left"/>
            </w:pPr>
            <w:r>
              <w:t xml:space="preserve">Administrative &amp; Coordination Fee (PCRCG project management)</w:t>
            </w:r>
          </w:p>
        </w:tc>
        <w:tc>
          <w:tcPr/>
          <w:p>
            <w:pPr>
              <w:pStyle w:val="Compact"/>
              <w:jc w:val="left"/>
            </w:pPr>
            <w:r>
              <w:t xml:space="preserve">12 months</w:t>
            </w:r>
          </w:p>
        </w:tc>
        <w:tc>
          <w:tcPr/>
          <w:p>
            <w:pPr>
              <w:pStyle w:val="Compact"/>
              <w:jc w:val="left"/>
            </w:pPr>
            <w:r>
              <w:t xml:space="preserve">$600</w:t>
            </w:r>
          </w:p>
        </w:tc>
        <w:tc>
          <w:tcPr/>
          <w:p>
            <w:pPr>
              <w:pStyle w:val="Compact"/>
              <w:jc w:val="left"/>
            </w:pPr>
            <w:r>
              <w:t xml:space="preserve">$7,200</w:t>
            </w:r>
          </w:p>
        </w:tc>
      </w:tr>
      <w:tr>
        <w:tc>
          <w:tcPr>
            <w:gridSpan w:val="4"/>
          </w:tcPr>
          <w:p>
            <w:pPr>
              <w:pStyle w:val="Compact"/>
              <w:jc w:val="right"/>
            </w:pPr>
            <w:r>
              <w:t xml:space="preserve">GRAND TOTAL (Annual)</w:t>
            </w:r>
          </w:p>
        </w:tc>
        <w:tc>
          <w:tcPr/>
          <w:p>
            <w:pPr>
              <w:pStyle w:val="Compact"/>
              <w:jc w:val="left"/>
            </w:pPr>
            <w:r>
              <w:t xml:space="preserve">$133,500</w:t>
            </w:r>
          </w:p>
        </w:tc>
      </w:tr>
      <w:tr>
        <w:tc>
          <w:tcPr>
            <w:gridSpan w:val="4"/>
          </w:tcPr>
          <w:p>
            <w:pPr>
              <w:pStyle w:val="Compact"/>
              <w:jc w:val="right"/>
            </w:pPr>
            <w:r>
              <w:t xml:space="preserve">Equivalent in Iranian Rial (IRR) at rate of 1 USD = 600,000 IRR</w:t>
            </w:r>
          </w:p>
        </w:tc>
        <w:tc>
          <w:tcPr/>
          <w:p>
            <w:pPr>
              <w:pStyle w:val="Compact"/>
              <w:jc w:val="left"/>
            </w:pPr>
            <w:r>
              <w:t xml:space="preserve">80,100,000,000 IRR</w:t>
            </w:r>
          </w:p>
        </w:tc>
      </w:tr>
    </w:tbl>
    <w:bookmarkEnd w:id="24"/>
    <w:bookmarkStart w:id="25" w:name="payment-schedule"/>
    <w:p>
      <w:pPr>
        <w:pStyle w:val="Heading3"/>
      </w:pPr>
      <w:r>
        <w:t xml:space="preserve">4. Payment Schedule</w:t>
      </w:r>
    </w:p>
    <w:p>
      <w:pPr>
        <w:pStyle w:val="FirstParagraph"/>
      </w:pPr>
      <w:r>
        <w:t xml:space="preserve">Payment for the services described in this</w:t>
      </w:r>
      <w:r>
        <w:t xml:space="preserve"> </w:t>
      </w:r>
      <w:r>
        <w:t xml:space="preserve">Quotation Estimate</w:t>
      </w:r>
      <w:r>
        <w:t xml:space="preserve"> </w:t>
      </w:r>
      <w:r>
        <w:t xml:space="preserve">shall be made in four (4) equal quarterly installments, due on the 1st of January, April, July, and October of the contract year. Each installment shall amount to</w:t>
      </w:r>
      <w:r>
        <w:t xml:space="preserve"> </w:t>
      </w:r>
      <w:r>
        <w:rPr>
          <w:bCs/>
          <w:b/>
        </w:rPr>
        <w:t xml:space="preserve">$33,375 USD</w:t>
      </w:r>
      <w:r>
        <w:t xml:space="preserve"> </w:t>
      </w:r>
      <w:r>
        <w:t xml:space="preserve">(or the equivalent in IRR at the Central Bank of Iran's published rate on the payment date). Payments shall be remitted via wire transfer to the designated account of the Persian Celestial Research &amp; Consulting Group, Tehran, Iran. Late payments exceeding fifteen (15) calendar days shall incur a penalty of 1.5% per month on the outstanding balance.</w:t>
      </w:r>
    </w:p>
    <w:bookmarkEnd w:id="25"/>
    <w:bookmarkStart w:id="26" w:name="terms-and-conditions"/>
    <w:p>
      <w:pPr>
        <w:pStyle w:val="Heading3"/>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Beyond this period, all prices are subject to revision based on prevailing exchange rates and market conditions in</w:t>
      </w:r>
      <w:r>
        <w:t xml:space="preserve"> </w:t>
      </w:r>
      <w:r>
        <w:t xml:space="preserve">Iran Tehran</w:t>
      </w:r>
      <w:r>
        <w:t xml:space="preserve">.</w:t>
      </w:r>
    </w:p>
    <w:p>
      <w:pPr>
        <w:numPr>
          <w:ilvl w:val="0"/>
          <w:numId w:val="1002"/>
        </w:numPr>
        <w:pStyle w:val="Compact"/>
      </w:pPr>
      <w:r>
        <w:t xml:space="preserve">The</w:t>
      </w:r>
      <w:r>
        <w:t xml:space="preserve"> </w:t>
      </w:r>
      <w:r>
        <w:t xml:space="preserve">Astronomer</w:t>
      </w:r>
      <w:r>
        <w:t xml:space="preserve"> </w:t>
      </w:r>
      <w:r>
        <w:t xml:space="preserve">engaged under this agreement must hold a minimum of a PhD in Astronomy, Astrophysics, or a closely related discipline, and must possess no fewer than five (5) years of post-doctoral research experience.</w:t>
      </w:r>
    </w:p>
    <w:p>
      <w:pPr>
        <w:numPr>
          <w:ilvl w:val="0"/>
          <w:numId w:val="1002"/>
        </w:numPr>
        <w:pStyle w:val="Compact"/>
      </w:pPr>
      <w:r>
        <w:t xml:space="preserve">All work performed by the</w:t>
      </w:r>
      <w:r>
        <w:t xml:space="preserve"> </w:t>
      </w:r>
      <w:r>
        <w:t xml:space="preserve">Astronomer</w:t>
      </w:r>
      <w:r>
        <w:t xml:space="preserve"> </w:t>
      </w:r>
      <w:r>
        <w:t xml:space="preserve">shall be conducted in compliance with the laws of the Islamic Republic of Iran, including but not limited to the Labor Law of 1977 (as amended) and the regulations of the Iranian Ministry of Science, Research and Technology.</w:t>
      </w:r>
    </w:p>
    <w:p>
      <w:pPr>
        <w:numPr>
          <w:ilvl w:val="0"/>
          <w:numId w:val="1002"/>
        </w:numPr>
        <w:pStyle w:val="Compact"/>
      </w:pPr>
      <w:r>
        <w:t xml:space="preserve">The host institution in</w:t>
      </w:r>
      <w:r>
        <w:t xml:space="preserve"> </w:t>
      </w:r>
      <w:r>
        <w:t xml:space="preserve">Iran Tehran</w:t>
      </w:r>
      <w:r>
        <w:t xml:space="preserve"> </w:t>
      </w:r>
      <w:r>
        <w:t xml:space="preserve">shall provide the</w:t>
      </w:r>
      <w:r>
        <w:t xml:space="preserve"> </w:t>
      </w:r>
      <w:r>
        <w:t xml:space="preserve">Astronomer</w:t>
      </w:r>
      <w:r>
        <w:t xml:space="preserve"> </w:t>
      </w:r>
      <w:r>
        <w:t xml:space="preserve">with access to all necessary laboratory facilities, computing resources, and observational equipment at no additional cost beyond what is itemized in Section 3.</w:t>
      </w:r>
    </w:p>
    <w:p>
      <w:pPr>
        <w:numPr>
          <w:ilvl w:val="0"/>
          <w:numId w:val="1002"/>
        </w:numPr>
        <w:pStyle w:val="Compact"/>
      </w:pPr>
      <w:r>
        <w:t xml:space="preserve">Intellectual property generated during the engagement shall be jointly owned by the</w:t>
      </w:r>
      <w:r>
        <w:t xml:space="preserve"> </w:t>
      </w:r>
      <w:r>
        <w:t xml:space="preserve">Astronomer</w:t>
      </w:r>
      <w:r>
        <w:t xml:space="preserve"> </w:t>
      </w:r>
      <w:r>
        <w:t xml:space="preserve">and the host institution, with publication rights shared equally. Any commercial exploitation requires written consent from both parties.</w:t>
      </w:r>
    </w:p>
    <w:p>
      <w:pPr>
        <w:numPr>
          <w:ilvl w:val="0"/>
          <w:numId w:val="1002"/>
        </w:numPr>
        <w:pStyle w:val="Compact"/>
      </w:pPr>
      <w:r>
        <w:t xml:space="preserve">Either party may terminate this agreement with a written notice of sixty (60) days. In the event of early termination, the</w:t>
      </w:r>
      <w:r>
        <w:t xml:space="preserve"> </w:t>
      </w:r>
      <w:r>
        <w:t xml:space="preserve">Astronomer</w:t>
      </w:r>
      <w:r>
        <w:t xml:space="preserve"> </w:t>
      </w:r>
      <w:r>
        <w:t xml:space="preserve">shall be compensated for all services rendered up to the termination date, plus a severance payment equivalent to one (1) month's professional fee.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registered with the relevant Iranian governmental authority.</w:t>
      </w:r>
    </w:p>
    <w:p>
      <w:pPr>
        <w:numPr>
          <w:ilvl w:val="0"/>
          <w:numId w:val="1002"/>
        </w:numPr>
        <w:pStyle w:val="Compact"/>
      </w:pPr>
      <w:r>
        <w:t xml:space="preserve">All disputes arising from this agreement shall be resolved through arbitration in</w:t>
      </w:r>
      <w:r>
        <w:t xml:space="preserve"> </w:t>
      </w:r>
      <w:r>
        <w:t xml:space="preserve">Iran Tehran</w:t>
      </w:r>
      <w:r>
        <w:t xml:space="preserve"> </w:t>
      </w:r>
      <w:r>
        <w:t xml:space="preserve">in accordance with the rules of the Tehran Regional Arbitration Center (TRAC).</w:t>
      </w:r>
    </w:p>
    <w:bookmarkEnd w:id="26"/>
    <w:bookmarkStart w:id="27" w:name="acceptance-authorization"/>
    <w:p>
      <w:pPr>
        <w:pStyle w:val="Heading3"/>
      </w:pPr>
      <w:r>
        <w:t xml:space="preserve">6. Acceptance &amp; Authorization</w:t>
      </w:r>
    </w:p>
    <w:p>
      <w:pPr>
        <w:pStyle w:val="FirstParagraph"/>
      </w:pPr>
      <w:r>
        <w:t xml:space="preserve">By signing below, both parties acknowledge that they have read, understood, and agree to all terms, conditions, and pricing outlined in this</w:t>
      </w:r>
      <w:r>
        <w:t xml:space="preserve"> </w:t>
      </w:r>
      <w:r>
        <w:t xml:space="preserve">Quotation Estimate</w:t>
      </w:r>
      <w:r>
        <w:t xml:space="preserve"> </w:t>
      </w:r>
      <w:r>
        <w:t xml:space="preserve">for the engagement of the</w:t>
      </w:r>
      <w:r>
        <w:t xml:space="preserve"> </w:t>
      </w:r>
      <w:r>
        <w:t xml:space="preserve">Astronomer</w:t>
      </w:r>
      <w:r>
        <w:t xml:space="preserve"> </w:t>
      </w:r>
      <w:r>
        <w:t xml:space="preserve">in</w:t>
      </w:r>
      <w:r>
        <w:t xml:space="preserve"> </w:t>
      </w:r>
      <w:r>
        <w:t xml:space="preserve">Iran Tehran</w:t>
      </w:r>
      <w:r>
        <w:t xml:space="preserve">.</w:t>
      </w:r>
    </w:p>
    <w:p>
      <w:pPr>
        <w:pStyle w:val="BodyText"/>
      </w:pPr>
      <w:r>
        <w:rPr>
          <w:bCs/>
          <w:b/>
        </w:rPr>
        <w:t xml:space="preserve">For the Client (Host Institution):</w:t>
      </w:r>
    </w:p>
    <w:p>
      <w:pPr>
        <w:pStyle w:val="BodyText"/>
      </w:pPr>
      <w:r>
        <w:t xml:space="preserve">Islamic Azad University, Science &amp; Research Branch</w:t>
      </w:r>
    </w:p>
    <w:p>
      <w:pPr>
        <w:pStyle w:val="BodyText"/>
      </w:pPr>
      <w:r>
        <w:t xml:space="preserve">Name: ______________________________</w:t>
      </w:r>
      <w:r>
        <w:br/>
      </w:r>
      <w:r>
        <w:t xml:space="preserve">Title: Dean, Faculty of Basic Sciences</w:t>
      </w:r>
      <w:r>
        <w:br/>
      </w:r>
      <w:r>
        <w:t xml:space="preserve">Signature &amp; Seal: ______________________________</w:t>
      </w:r>
      <w:r>
        <w:br/>
      </w:r>
      <w:r>
        <w:t xml:space="preserve">Date: ______________________________</w:t>
      </w:r>
    </w:p>
    <w:p>
      <w:pPr>
        <w:pStyle w:val="BodyText"/>
      </w:pPr>
      <w:r>
        <w:rPr>
          <w:bCs/>
          <w:b/>
        </w:rPr>
        <w:t xml:space="preserve">For the Service Provider:</w:t>
      </w:r>
    </w:p>
    <w:p>
      <w:pPr>
        <w:pStyle w:val="BodyText"/>
      </w:pPr>
      <w:r>
        <w:t xml:space="preserve">Persian Celestial Research &amp; Consulting Group</w:t>
      </w:r>
    </w:p>
    <w:p>
      <w:pPr>
        <w:pStyle w:val="BodyText"/>
      </w:pPr>
      <w:r>
        <w:t xml:space="preserve">Name: ______________________________</w:t>
      </w:r>
      <w:r>
        <w:br/>
      </w:r>
      <w:r>
        <w:t xml:space="preserve">Title: Director of Professional Placements</w:t>
      </w:r>
      <w:r>
        <w:br/>
      </w:r>
      <w:r>
        <w:t xml:space="preserve">Signature &amp; Seal: ______________________________</w:t>
      </w:r>
      <w:r>
        <w:br/>
      </w:r>
      <w:r>
        <w:t xml:space="preserve">Date: ______________________________</w:t>
      </w:r>
    </w:p>
    <w:p>
      <w:pPr>
        <w:pStyle w:val="BodyText"/>
      </w:pPr>
      <w:r>
        <w:t xml:space="preserve">Quotation Estimate No. PCRCG-2025-AST-0047 — Page 1 of 1</w:t>
      </w:r>
    </w:p>
    <w:p>
      <w:pPr>
        <w:pStyle w:val="BodyText"/>
      </w:pPr>
      <w:r>
        <w:t xml:space="preserve">Persian Celestial Research &amp; Consulting Group • Tehran, Iran • Tel: +98-21-8877-6655 • Email: quotations@pcrcg-iran.ir</w:t>
      </w:r>
    </w:p>
    <w:p>
      <w:pPr>
        <w:pStyle w:val="BodyText"/>
      </w:pPr>
      <w:r>
        <w:t xml:space="preserve">This document is confidential and intended solely for the named recipient.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Iran Tehran</dc:title>
  <dc:creator/>
  <dc:language>en</dc:language>
  <cp:keywords/>
  <dcterms:created xsi:type="dcterms:W3CDTF">2026-10-10T02:10:05Z</dcterms:created>
  <dcterms:modified xsi:type="dcterms:W3CDTF">2026-10-10T02:10:05Z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