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Astronomer Services — Israel Tel Aviv</w:t>
      </w:r>
    </w:p>
    <w:p>
      <w:pPr>
        <w:pStyle w:val="BodyText"/>
      </w:pPr>
      <w:r>
        <w:t xml:space="preserve">Document Reference: QE-ATL-2025-0472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30 days from issue date</w:t>
            </w:r>
          </w:p>
        </w:tc>
      </w:tr>
      <w:tr>
        <w:tc>
          <w:tcPr/>
          <w:p>
            <w:pPr>
              <w:pStyle w:val="Compact"/>
              <w:jc w:val="left"/>
            </w:pPr>
            <w:r>
              <w:t xml:space="preserve">Prepared By</w:t>
            </w:r>
          </w:p>
        </w:tc>
        <w:tc>
          <w:tcPr/>
          <w:p>
            <w:pPr>
              <w:pStyle w:val="Compact"/>
              <w:jc w:val="left"/>
            </w:pPr>
            <w:r>
              <w:t xml:space="preserve">Dr. Miriam Levi, Senior Astronomer &amp; Consultant</w:t>
            </w:r>
          </w:p>
        </w:tc>
        <w:tc>
          <w:tcPr/>
          <w:p>
            <w:pPr>
              <w:pStyle w:val="Compact"/>
              <w:jc w:val="left"/>
            </w:pPr>
            <w:r>
              <w:t xml:space="preserve">Contact</w:t>
            </w:r>
          </w:p>
        </w:tc>
        <w:tc>
          <w:tcPr/>
          <w:p>
            <w:pPr>
              <w:pStyle w:val="Compact"/>
              <w:jc w:val="left"/>
            </w:pPr>
            <w:r>
              <w:t xml:space="preserve">m.levi@telavivastro.co.il | +972-3-555-0142</w:t>
            </w:r>
          </w:p>
        </w:tc>
      </w:tr>
      <w:tr>
        <w:tc>
          <w:tcPr/>
          <w:p>
            <w:pPr>
              <w:pStyle w:val="Compact"/>
              <w:jc w:val="left"/>
            </w:pPr>
            <w:r>
              <w:t xml:space="preserve">Client</w:t>
            </w:r>
          </w:p>
        </w:tc>
        <w:tc>
          <w:tcPr/>
          <w:p>
            <w:pPr>
              <w:pStyle w:val="Compact"/>
              <w:jc w:val="left"/>
            </w:pPr>
            <w:r>
              <w:t xml:space="preserve">Tel Aviv University — Department of Physics &amp; Astronomy</w:t>
            </w:r>
          </w:p>
        </w:tc>
        <w:tc>
          <w:tcPr/>
          <w:p>
            <w:pPr>
              <w:pStyle w:val="Compact"/>
              <w:jc w:val="left"/>
            </w:pPr>
            <w:r>
              <w:t xml:space="preserve">Client Address</w:t>
            </w:r>
          </w:p>
        </w:tc>
        <w:tc>
          <w:tcPr/>
          <w:p>
            <w:pPr>
              <w:pStyle w:val="Compact"/>
              <w:jc w:val="left"/>
            </w:pPr>
            <w:r>
              <w:t xml:space="preserve">69 Weizmann Street, Israel Tel Aviv, 6997801</w:t>
            </w:r>
          </w:p>
        </w:tc>
      </w:tr>
      <w:tr>
        <w:tc>
          <w:tcPr/>
          <w:p>
            <w:pPr>
              <w:pStyle w:val="Compact"/>
              <w:jc w:val="left"/>
            </w:pPr>
            <w:r>
              <w:t xml:space="preserve">Project Title</w:t>
            </w:r>
          </w:p>
        </w:tc>
        <w:tc>
          <w:tcPr>
            <w:gridSpan w:val="3"/>
          </w:tcPr>
          <w:p>
            <w:pPr>
              <w:pStyle w:val="Compact"/>
              <w:jc w:val="left"/>
            </w:pPr>
            <w:r>
              <w:t xml:space="preserve">Engagement of a Specialist Astronomer for Research, Observation, and Educational Programs in Israel Tel Aviv</w:t>
            </w:r>
          </w:p>
        </w:tc>
      </w:tr>
    </w:tbl>
    <w:bookmarkStart w:id="21" w:name="scope-of-services"/>
    <w:p>
      <w:pPr>
        <w:pStyle w:val="Heading2"/>
      </w:pPr>
      <w:r>
        <w:t xml:space="preserve">1. Scope of Services</w:t>
      </w:r>
    </w:p>
    <w:p>
      <w:pPr>
        <w:pStyle w:val="FirstParagraph"/>
      </w:pPr>
      <w:r>
        <w:t xml:space="preserve">This</w:t>
      </w:r>
      <w:r>
        <w:t xml:space="preserve"> </w:t>
      </w:r>
      <w:r>
        <w:t xml:space="preserve">Quotation Estimate</w:t>
      </w:r>
      <w:r>
        <w:t xml:space="preserve"> </w:t>
      </w:r>
      <w:r>
        <w:t xml:space="preserve">is issued in response to the formal request submitted by the Tel Aviv University Department of Physics &amp; Astronomy for the professional engagement of a qualified</w:t>
      </w:r>
      <w:r>
        <w:t xml:space="preserve"> </w:t>
      </w:r>
      <w:r>
        <w:t xml:space="preserve">Astronomer</w:t>
      </w:r>
      <w:r>
        <w:t xml:space="preserve"> </w:t>
      </w:r>
      <w:r>
        <w:t xml:space="preserve">to deliver a comprehensive suite of research, observational, and educational services within the greater</w:t>
      </w:r>
      <w:r>
        <w:t xml:space="preserve"> </w:t>
      </w:r>
      <w:r>
        <w:t xml:space="preserve">Israel Tel Aviv</w:t>
      </w:r>
      <w:r>
        <w:t xml:space="preserve"> </w:t>
      </w:r>
      <w:r>
        <w:t xml:space="preserve">metropolitan area. The Astronomer will be responsible for conducting advanced astronomical observations, publishing peer-reviewed research findings, supervising graduate students, and delivering public outreach programs at designated venues across Israel Tel Aviv, including the Tel Aviv Science Center, the Weizmann Institute of Science, and the local community observatories.</w:t>
      </w:r>
    </w:p>
    <w:p>
      <w:pPr>
        <w:pStyle w:val="BodyText"/>
      </w:pPr>
      <w:r>
        <w:t xml:space="preserve">The engagement is structured to align with the academic calendar of the Israeli higher education system and to accommodate the unique astronomical conditions available in the Israel Tel Aviv region, including its proximity to the Mediterranean coastline and the relatively low light pollution of the surrounding coastal hills.</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(ILS)</w:t>
            </w:r>
          </w:p>
        </w:tc>
        <w:tc>
          <w:tcPr/>
          <w:p>
            <w:pPr>
              <w:pStyle w:val="Compact"/>
              <w:jc w:val="left"/>
            </w:pPr>
            <w:r>
              <w:t xml:space="preserve">Subtotal (ILS)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Advanced Astronomical Observation &amp; Data Acquisition using the 1.5m telescope at the Israel Tel Aviv Coastal Observatory</w:t>
            </w:r>
          </w:p>
        </w:tc>
        <w:tc>
          <w:tcPr/>
          <w:p>
            <w:pPr>
              <w:pStyle w:val="Compact"/>
              <w:jc w:val="left"/>
            </w:pPr>
            <w:r>
              <w:t xml:space="preserve">120 hours</w:t>
            </w:r>
          </w:p>
        </w:tc>
        <w:tc>
          <w:tcPr/>
          <w:p>
            <w:pPr>
              <w:pStyle w:val="Compact"/>
              <w:jc w:val="left"/>
            </w:pPr>
            <w:r>
              <w:t xml:space="preserve">1,850</w:t>
            </w:r>
          </w:p>
        </w:tc>
        <w:tc>
          <w:tcPr/>
          <w:p>
            <w:pPr>
              <w:pStyle w:val="Compact"/>
              <w:jc w:val="left"/>
            </w:pPr>
            <w:r>
              <w:t xml:space="preserve">222,000</w:t>
            </w:r>
          </w:p>
        </w:tc>
        <w:tc>
          <w:tcPr/>
          <w:p>
            <w:pPr>
              <w:pStyle w:val="Compact"/>
              <w:jc w:val="left"/>
            </w:pPr>
            <w:r>
              <w:t xml:space="preserve">Includes instrument calibration</w:t>
            </w:r>
          </w:p>
        </w:tc>
      </w:tr>
      <w:tr>
        <w:tc>
          <w:tcPr/>
          <w:p>
            <w:pPr>
              <w:pStyle w:val="Compact"/>
              <w:jc w:val="left"/>
            </w:pPr>
            <w:r>
              <w:t xml:space="preserve">2</w:t>
            </w:r>
          </w:p>
        </w:tc>
        <w:tc>
          <w:tcPr/>
          <w:p>
            <w:pPr>
              <w:pStyle w:val="Compact"/>
              <w:jc w:val="left"/>
            </w:pPr>
            <w:r>
              <w:t xml:space="preserve">Research Paper Development &amp; Peer-Review Publication (minimum 3 papers in Q1 journals)</w:t>
            </w:r>
          </w:p>
        </w:tc>
        <w:tc>
          <w:tcPr/>
          <w:p>
            <w:pPr>
              <w:pStyle w:val="Compact"/>
              <w:jc w:val="left"/>
            </w:pPr>
            <w:r>
              <w:t xml:space="preserve">3 papers</w:t>
            </w:r>
          </w:p>
        </w:tc>
        <w:tc>
          <w:tcPr/>
          <w:p>
            <w:pPr>
              <w:pStyle w:val="Compact"/>
              <w:jc w:val="left"/>
            </w:pPr>
            <w:r>
              <w:t xml:space="preserve">45,000</w:t>
            </w:r>
          </w:p>
        </w:tc>
        <w:tc>
          <w:tcPr/>
          <w:p>
            <w:pPr>
              <w:pStyle w:val="Compact"/>
              <w:jc w:val="left"/>
            </w:pPr>
            <w:r>
              <w:t xml:space="preserve">135,000</w:t>
            </w:r>
          </w:p>
        </w:tc>
        <w:tc>
          <w:tcPr/>
          <w:p>
            <w:pPr>
              <w:pStyle w:val="Compact"/>
              <w:jc w:val="left"/>
            </w:pPr>
            <w:r>
              <w:t xml:space="preserve">Per paper, incl. open-access fees</w:t>
            </w:r>
          </w:p>
        </w:tc>
      </w:tr>
      <w:tr>
        <w:tc>
          <w:tcPr/>
          <w:p>
            <w:pPr>
              <w:pStyle w:val="Compact"/>
              <w:jc w:val="left"/>
            </w:pPr>
            <w:r>
              <w:t xml:space="preserve">3</w:t>
            </w:r>
          </w:p>
        </w:tc>
        <w:tc>
          <w:tcPr/>
          <w:p>
            <w:pPr>
              <w:pStyle w:val="Compact"/>
              <w:jc w:val="left"/>
            </w:pPr>
            <w:r>
              <w:t xml:space="preserve">Graduate Student Supervision &amp; Thesis Guidance (up to 4 PhD candidates)</w:t>
            </w:r>
          </w:p>
        </w:tc>
        <w:tc>
          <w:tcPr/>
          <w:p>
            <w:pPr>
              <w:pStyle w:val="Compact"/>
              <w:jc w:val="left"/>
            </w:pPr>
            <w:r>
              <w:t xml:space="preserve">12 months</w:t>
            </w:r>
          </w:p>
        </w:tc>
        <w:tc>
          <w:tcPr/>
          <w:p>
            <w:pPr>
              <w:pStyle w:val="Compact"/>
              <w:jc w:val="left"/>
            </w:pPr>
            <w:r>
              <w:t xml:space="preserve">8,500</w:t>
            </w:r>
          </w:p>
        </w:tc>
        <w:tc>
          <w:tcPr/>
          <w:p>
            <w:pPr>
              <w:pStyle w:val="Compact"/>
              <w:jc w:val="left"/>
            </w:pPr>
            <w:r>
              <w:t xml:space="preserve">102,000</w:t>
            </w:r>
          </w:p>
        </w:tc>
        <w:tc>
          <w:tcPr/>
          <w:p>
            <w:pPr>
              <w:pStyle w:val="Compact"/>
              <w:jc w:val="left"/>
            </w:pPr>
            <w:r>
              <w:t xml:space="preserve">Monthly retainer</w:t>
            </w:r>
          </w:p>
        </w:tc>
      </w:tr>
      <w:tr>
        <w:tc>
          <w:tcPr/>
          <w:p>
            <w:pPr>
              <w:pStyle w:val="Compact"/>
              <w:jc w:val="left"/>
            </w:pPr>
            <w:r>
              <w:t xml:space="preserve">4</w:t>
            </w:r>
          </w:p>
        </w:tc>
        <w:tc>
          <w:tcPr/>
          <w:p>
            <w:pPr>
              <w:pStyle w:val="Compact"/>
              <w:jc w:val="left"/>
            </w:pPr>
            <w:r>
              <w:t xml:space="preserve">Public Astronomy Outreach &amp; Educational Workshops in Israel Tel Aviv (schools, community centers, science fairs)</w:t>
            </w:r>
          </w:p>
        </w:tc>
        <w:tc>
          <w:tcPr/>
          <w:p>
            <w:pPr>
              <w:pStyle w:val="Compact"/>
              <w:jc w:val="left"/>
            </w:pPr>
            <w:r>
              <w:t xml:space="preserve">24 sessions</w:t>
            </w:r>
          </w:p>
        </w:tc>
        <w:tc>
          <w:tcPr/>
          <w:p>
            <w:pPr>
              <w:pStyle w:val="Compact"/>
              <w:jc w:val="left"/>
            </w:pPr>
            <w:r>
              <w:t xml:space="preserve">3,200</w:t>
            </w:r>
          </w:p>
        </w:tc>
        <w:tc>
          <w:tcPr/>
          <w:p>
            <w:pPr>
              <w:pStyle w:val="Compact"/>
              <w:jc w:val="left"/>
            </w:pPr>
            <w:r>
              <w:t xml:space="preserve">76,800</w:t>
            </w:r>
          </w:p>
        </w:tc>
        <w:tc>
          <w:tcPr/>
          <w:p>
            <w:pPr>
              <w:pStyle w:val="Compact"/>
              <w:jc w:val="left"/>
            </w:pPr>
            <w:r>
              <w:t xml:space="preserve">Travel within Tel Aviv included</w:t>
            </w:r>
          </w:p>
        </w:tc>
      </w:tr>
      <w:tr>
        <w:tc>
          <w:tcPr/>
          <w:p>
            <w:pPr>
              <w:pStyle w:val="Compact"/>
              <w:jc w:val="left"/>
            </w:pPr>
            <w:r>
              <w:t xml:space="preserve">5</w:t>
            </w:r>
          </w:p>
        </w:tc>
        <w:tc>
          <w:tcPr/>
          <w:p>
            <w:pPr>
              <w:pStyle w:val="Compact"/>
              <w:jc w:val="left"/>
            </w:pPr>
            <w:r>
              <w:t xml:space="preserve">Astronomical Software Licensing &amp; Data Processing Pipeline Setup (AstroPy, CASA, custom scripts)</w:t>
            </w:r>
          </w:p>
        </w:tc>
        <w:tc>
          <w:tcPr/>
          <w:p>
            <w:pPr>
              <w:pStyle w:val="Compact"/>
              <w:jc w:val="left"/>
            </w:pPr>
            <w:r>
              <w:t xml:space="preserve">One-time</w:t>
            </w:r>
          </w:p>
        </w:tc>
        <w:tc>
          <w:tcPr/>
          <w:p>
            <w:pPr>
              <w:pStyle w:val="Compact"/>
              <w:jc w:val="left"/>
            </w:pPr>
            <w:r>
              <w:t xml:space="preserve">28,000</w:t>
            </w:r>
          </w:p>
        </w:tc>
        <w:tc>
          <w:tcPr/>
          <w:p>
            <w:pPr>
              <w:pStyle w:val="Compact"/>
              <w:jc w:val="left"/>
            </w:pPr>
            <w:r>
              <w:t xml:space="preserve">28,000</w:t>
            </w:r>
          </w:p>
        </w:tc>
        <w:tc>
          <w:tcPr/>
          <w:p>
            <w:pPr>
              <w:pStyle w:val="Compact"/>
              <w:jc w:val="left"/>
            </w:pPr>
            <w:r>
              <w:t xml:space="preserve">Includes 1-year maintenance</w:t>
            </w:r>
          </w:p>
        </w:tc>
      </w:tr>
      <w:tr>
        <w:tc>
          <w:tcPr/>
          <w:p>
            <w:pPr>
              <w:pStyle w:val="Compact"/>
              <w:jc w:val="left"/>
            </w:pPr>
            <w:r>
              <w:t xml:space="preserve">6</w:t>
            </w:r>
          </w:p>
        </w:tc>
        <w:tc>
          <w:tcPr/>
          <w:p>
            <w:pPr>
              <w:pStyle w:val="Compact"/>
              <w:jc w:val="left"/>
            </w:pPr>
            <w:r>
              <w:t xml:space="preserve">Collaborative Research with Weizmann Institute &amp; Hebrew University of Jerusalem (joint grants, conferences)</w:t>
            </w:r>
          </w:p>
        </w:tc>
        <w:tc>
          <w:tcPr/>
          <w:p>
            <w:pPr>
              <w:pStyle w:val="Compact"/>
              <w:jc w:val="left"/>
            </w:pPr>
            <w:r>
              <w:t xml:space="preserve">6 months</w:t>
            </w:r>
          </w:p>
        </w:tc>
        <w:tc>
          <w:tcPr/>
          <w:p>
            <w:pPr>
              <w:pStyle w:val="Compact"/>
              <w:jc w:val="left"/>
            </w:pPr>
            <w:r>
              <w:t xml:space="preserve">12,000</w:t>
            </w:r>
          </w:p>
        </w:tc>
        <w:tc>
          <w:tcPr/>
          <w:p>
            <w:pPr>
              <w:pStyle w:val="Compact"/>
              <w:jc w:val="left"/>
            </w:pPr>
            <w:r>
              <w:t xml:space="preserve">72,000</w:t>
            </w:r>
          </w:p>
        </w:tc>
        <w:tc>
          <w:tcPr/>
          <w:p>
            <w:pPr>
              <w:pStyle w:val="Compact"/>
              <w:jc w:val="left"/>
            </w:pPr>
            <w:r>
              <w:t xml:space="preserve">Per month, incl. travel</w:t>
            </w:r>
          </w:p>
        </w:tc>
      </w:tr>
      <w:tr>
        <w:tc>
          <w:tcPr/>
          <w:p>
            <w:pPr>
              <w:pStyle w:val="Compact"/>
              <w:jc w:val="left"/>
            </w:pPr>
            <w:r>
              <w:t xml:space="preserve">7</w:t>
            </w:r>
          </w:p>
        </w:tc>
        <w:tc>
          <w:tcPr/>
          <w:p>
            <w:pPr>
              <w:pStyle w:val="Compact"/>
              <w:jc w:val="left"/>
            </w:pPr>
            <w:r>
              <w:t xml:space="preserve">Equipment Procurement Advisory &amp; Site Assessment for a new observatory in the Israel Tel Aviv hinterland</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Includes feasibility report</w:t>
            </w:r>
          </w:p>
        </w:tc>
      </w:tr>
      <w:tr>
        <w:tc>
          <w:tcPr/>
          <w:p>
            <w:pPr>
              <w:pStyle w:val="Compact"/>
              <w:jc w:val="left"/>
            </w:pPr>
            <w:r>
              <w:t xml:space="preserve">8</w:t>
            </w:r>
          </w:p>
        </w:tc>
        <w:tc>
          <w:tcPr/>
          <w:p>
            <w:pPr>
              <w:pStyle w:val="Compact"/>
              <w:jc w:val="left"/>
            </w:pPr>
            <w:r>
              <w:t xml:space="preserve">Administrative &amp; Reporting Overhead (monthly progress reports, budget tracking, compliance with Israeli research ethics)</w:t>
            </w:r>
          </w:p>
        </w:tc>
        <w:tc>
          <w:tcPr/>
          <w:p>
            <w:pPr>
              <w:pStyle w:val="Compact"/>
              <w:jc w:val="left"/>
            </w:pPr>
            <w:r>
              <w:t xml:space="preserve">12 months</w:t>
            </w:r>
          </w:p>
        </w:tc>
        <w:tc>
          <w:tcPr/>
          <w:p>
            <w:pPr>
              <w:pStyle w:val="Compact"/>
              <w:jc w:val="left"/>
            </w:pPr>
            <w:r>
              <w:t xml:space="preserve">4,500</w:t>
            </w:r>
          </w:p>
        </w:tc>
        <w:tc>
          <w:tcPr/>
          <w:p>
            <w:pPr>
              <w:pStyle w:val="Compact"/>
              <w:jc w:val="left"/>
            </w:pPr>
            <w:r>
              <w:t xml:space="preserve">54,000</w:t>
            </w:r>
          </w:p>
        </w:tc>
        <w:tc>
          <w:tcPr/>
          <w:p>
            <w:pPr>
              <w:pStyle w:val="Compact"/>
              <w:jc w:val="left"/>
            </w:pPr>
            <w:r>
              <w:t xml:space="preserve">Monthly</w:t>
            </w:r>
          </w:p>
        </w:tc>
      </w:tr>
      <w:tr>
        <w:tc>
          <w:tcPr>
            <w:gridSpan w:val="4"/>
          </w:tcPr>
          <w:p>
            <w:pPr>
              <w:pStyle w:val="Compact"/>
              <w:jc w:val="left"/>
            </w:pPr>
            <w:r>
              <w:t xml:space="preserve">TOTAL ESTIMATED COST (excl. VAT)</w:t>
            </w:r>
          </w:p>
        </w:tc>
        <w:tc>
          <w:tcPr/>
          <w:p>
            <w:pPr>
              <w:pStyle w:val="Compact"/>
              <w:jc w:val="left"/>
            </w:pPr>
            <w:r>
              <w:t xml:space="preserve">724,800</w:t>
            </w:r>
          </w:p>
        </w:tc>
        <w:tc>
          <w:tcPr/>
          <w:p>
            <w:pPr>
              <w:pStyle w:val="Compact"/>
            </w:pPr>
          </w:p>
        </w:tc>
      </w:tr>
      <w:tr>
        <w:tc>
          <w:tcPr>
            <w:gridSpan w:val="4"/>
          </w:tcPr>
          <w:p>
            <w:pPr>
              <w:pStyle w:val="Compact"/>
              <w:jc w:val="left"/>
            </w:pPr>
            <w:r>
              <w:t xml:space="preserve">VAT (18%)</w:t>
            </w:r>
          </w:p>
        </w:tc>
        <w:tc>
          <w:tcPr/>
          <w:p>
            <w:pPr>
              <w:pStyle w:val="Compact"/>
              <w:jc w:val="left"/>
            </w:pPr>
            <w:r>
              <w:t xml:space="preserve">130,464</w:t>
            </w:r>
          </w:p>
        </w:tc>
        <w:tc>
          <w:tcPr/>
          <w:p>
            <w:pPr>
              <w:pStyle w:val="Compact"/>
            </w:pPr>
          </w:p>
        </w:tc>
      </w:tr>
      <w:tr>
        <w:tc>
          <w:tcPr>
            <w:gridSpan w:val="4"/>
          </w:tcPr>
          <w:p>
            <w:pPr>
              <w:pStyle w:val="Compact"/>
              <w:jc w:val="left"/>
            </w:pPr>
            <w:r>
              <w:t xml:space="preserve">GRAND TOTAL (incl. VAT)</w:t>
            </w:r>
          </w:p>
        </w:tc>
        <w:tc>
          <w:tcPr/>
          <w:p>
            <w:pPr>
              <w:pStyle w:val="Compact"/>
              <w:jc w:val="left"/>
            </w:pPr>
            <w:r>
              <w:t xml:space="preserve">855,264</w:t>
            </w:r>
          </w:p>
        </w:tc>
        <w:tc>
          <w:tcPr/>
          <w:p>
            <w:pPr>
              <w:pStyle w:val="Compact"/>
              <w:jc w:val="left"/>
            </w:pPr>
            <w:r>
              <w:t xml:space="preserve">ILS</w:t>
            </w:r>
          </w:p>
        </w:tc>
      </w:tr>
    </w:tbl>
    <w:p>
      <w:pPr>
        <w:pStyle w:val="BodyText"/>
      </w:pPr>
      <w:r>
        <w:rPr>
          <w:bCs/>
          <w:b/>
        </w:rPr>
        <w:t xml:space="preserve">Note:</w:t>
      </w:r>
      <w:r>
        <w:t xml:space="preserve"> </w:t>
      </w:r>
      <w:r>
        <w:t xml:space="preserve">All monetary values in this Quotation Estimate are expressed in Israeli New Shekels (ILS). Exchange rate reference: 1 USD ≈ 3.75 ILS as of the date of issue. The Astronomer's professional liability insurance, registered under the Israel Insurance Authority, is included in the above rates at no additional cost to the client.</w:t>
      </w:r>
    </w:p>
    <w:bookmarkEnd w:id="22"/>
    <w:bookmarkStart w:id="23" w:name="payment-schedule"/>
    <w:p>
      <w:pPr>
        <w:pStyle w:val="Heading2"/>
      </w:pPr>
      <w:r>
        <w:t xml:space="preserve">3. Payment Schedule</w:t>
      </w:r>
    </w:p>
    <w:p>
      <w:pPr>
        <w:pStyle w:val="FirstParagraph"/>
      </w:pPr>
      <w:r>
        <w:t xml:space="preserve">Payment for the services outlined in this Quotation Estimate shall be made in four equal quarterly installments, due on the 1st of January, April, July, and October 2025. Each installment amount is ILS 213,816 (inclusive of VAT). Payment shall be made via bank transfer to the account designated by the Astronomer, registered under the Israel Tax Authority (Mashav) with the appropriate VAT identification number. Late payments shall accrue interest at the rate prescribed by the Israeli Interest and Taxation Law.</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a period of thirty (30) calendar days from the date of issue. Beyond this period, all rates are subject to revision based on prevailing market conditions in Israel Tel Aviv.</w:t>
      </w:r>
    </w:p>
    <w:p>
      <w:pPr>
        <w:numPr>
          <w:ilvl w:val="0"/>
          <w:numId w:val="1001"/>
        </w:numPr>
        <w:pStyle w:val="Compact"/>
      </w:pPr>
      <w:r>
        <w:t xml:space="preserve">The Astronomer shall comply with all applicable Israeli laws, including the Israeli Higher Education Law, the Privacy Protection Law (5741-1981), and the regulations of the Israel Science Foundation (ISF) where applicable.</w:t>
      </w:r>
    </w:p>
    <w:p>
      <w:pPr>
        <w:numPr>
          <w:ilvl w:val="0"/>
          <w:numId w:val="1001"/>
        </w:numPr>
        <w:pStyle w:val="Compact"/>
      </w:pPr>
      <w:r>
        <w:t xml:space="preserve">All intellectual property generated during the engagement, including research data, publications, and software, shall be jointly owned by the Astronomer and the client institution, as stipulated in the separate Intellectual Property Agreement to be executed prior to commencement.</w:t>
      </w:r>
    </w:p>
    <w:p>
      <w:pPr>
        <w:numPr>
          <w:ilvl w:val="0"/>
          <w:numId w:val="1001"/>
        </w:numPr>
        <w:pStyle w:val="Compact"/>
      </w:pPr>
      <w:r>
        <w:t xml:space="preserve">The Astronomer reserves the right to decline any sub-task that conflicts with professional ethics or Israeli national security regulations, particularly those pertaining to astronomical data that may have dual-use implications.</w:t>
      </w:r>
    </w:p>
    <w:p>
      <w:pPr>
        <w:numPr>
          <w:ilvl w:val="0"/>
          <w:numId w:val="1001"/>
        </w:numPr>
        <w:pStyle w:val="Compact"/>
      </w:pPr>
      <w:r>
        <w:t xml:space="preserve">Travel and accommodation costs for conferences outside the Israel Tel Aviv metropolitan area (e.g., Jerusalem, Haifa, or international venues) shall be reimbursed at actual cost, subject to a monthly cap of ILS 15,000, with prior written approval from the client's project director.</w:t>
      </w:r>
    </w:p>
    <w:p>
      <w:pPr>
        <w:numPr>
          <w:ilvl w:val="0"/>
          <w:numId w:val="1001"/>
        </w:numPr>
        <w:pStyle w:val="Compact"/>
      </w:pPr>
      <w:r>
        <w:t xml:space="preserve">Either party may terminate this engagement with thirty (30) days' written notice. In the event of early termination, the client shall be liable for all services rendered up to the termination date plus a 10% administrative fee.</w:t>
      </w:r>
    </w:p>
    <w:p>
      <w:pPr>
        <w:numPr>
          <w:ilvl w:val="0"/>
          <w:numId w:val="1001"/>
        </w:numPr>
        <w:pStyle w:val="Compact"/>
      </w:pPr>
      <w:r>
        <w:t xml:space="preserve">All disputes arising from this Quotation Estimate shall be resolved through arbitration in Israel Tel Aviv in accordance with the Israeli Arbitration Law, 5728-1968, and the proceedings shall be conducted in Hebrew or English at the arbitrator's discretion.</w:t>
      </w:r>
    </w:p>
    <w:p>
      <w:pPr>
        <w:numPr>
          <w:ilvl w:val="0"/>
          <w:numId w:val="1001"/>
        </w:numPr>
        <w:pStyle w:val="Compact"/>
      </w:pPr>
      <w:r>
        <w:t xml:space="preserve">The Astronomer shall maintain a minimum of 40 hours per week of dedicated service to the client project, with the remaining time allocated to independent research and professional development.</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set forth in this Quotation Estimate for Astronomer services to be delivered in Israel Tel Aviv. This document, once countersigned, constitutes a binding agreement between the parties.</w:t>
      </w:r>
    </w:p>
    <w:p>
      <w:pPr>
        <w:pStyle w:val="BodyText"/>
      </w:pPr>
      <w:r>
        <w:rPr>
          <w:bCs/>
          <w:b/>
        </w:rPr>
        <w:t xml:space="preserve">For the Client:</w:t>
      </w:r>
      <w:r>
        <w:t xml:space="preserve"> </w:t>
      </w:r>
      <w:r>
        <w:t xml:space="preserve">Tel Aviv University — Department of Physics &amp; Astronomy</w:t>
      </w:r>
      <w:r>
        <w:br/>
      </w:r>
      <w:r>
        <w:t xml:space="preserve">Name: ________________________</w:t>
      </w:r>
      <w:r>
        <w:br/>
      </w:r>
      <w:r>
        <w:t xml:space="preserve">Title: ________________________</w:t>
      </w:r>
      <w:r>
        <w:br/>
      </w:r>
      <w:r>
        <w:t xml:space="preserve">Date: ________________________</w:t>
      </w:r>
    </w:p>
    <w:p>
      <w:pPr>
        <w:pStyle w:val="BodyText"/>
      </w:pPr>
      <w:r>
        <w:rPr>
          <w:bCs/>
          <w:b/>
        </w:rPr>
        <w:t xml:space="preserve">For the Astronomer:</w:t>
      </w:r>
      <w:r>
        <w:t xml:space="preserve"> </w:t>
      </w:r>
      <w:r>
        <w:t xml:space="preserve">Dr. Miriam Levi</w:t>
      </w:r>
      <w:r>
        <w:br/>
      </w:r>
      <w:r>
        <w:t xml:space="preserve">Name: ________________________</w:t>
      </w:r>
      <w:r>
        <w:br/>
      </w:r>
      <w:r>
        <w:t xml:space="preserve">Title: Senior Astronomer &amp; Consultant</w:t>
      </w:r>
      <w:r>
        <w:br/>
      </w:r>
      <w:r>
        <w:t xml:space="preserve">Date: ________________________</w:t>
      </w:r>
    </w:p>
    <w:p>
      <w:pPr>
        <w:pStyle w:val="BodyText"/>
      </w:pPr>
      <w:r>
        <w:t xml:space="preserve">Quotation Estimate QE-ATL-2025-0472 — Astronomer Services — Israel Tel Aviv</w:t>
      </w:r>
      <w:r>
        <w:br/>
      </w:r>
      <w:r>
        <w:t xml:space="preserve">This document is the property of the issuing party and may not be reproduced without written consent.</w:t>
      </w:r>
      <w:r>
        <w:br/>
      </w:r>
      <w:r>
        <w:t xml:space="preserve">© 2025 Dr. Miriam Levi, Astronomical Consulting Services, Tel Aviv, Israel.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Israel Tel Aviv</dc:title>
  <dc:creator/>
  <dc:language>en</dc:language>
  <cp:keywords/>
  <dcterms:created xsi:type="dcterms:W3CDTF">2026-10-10T05:50:43Z</dcterms:created>
  <dcterms:modified xsi:type="dcterms:W3CDTF">2026-10-10T05:50:43Z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