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Japan</w:t>
      </w:r>
      <w:r>
        <w:t xml:space="preserve"> </w:t>
      </w:r>
      <w:r>
        <w:t xml:space="preserve">Kyoto</w:t>
      </w:r>
    </w:p>
    <w:bookmarkStart w:id="21" w:name="quotation-estimate"/>
    <w:p>
      <w:pPr>
        <w:pStyle w:val="Heading1"/>
      </w:pPr>
      <w:r>
        <w:t xml:space="preserve">QUOTATION ESTIMATE</w:t>
      </w:r>
    </w:p>
    <w:bookmarkStart w:id="20" w:name="Xeef1126e80c543dc9936c76b206af11d6b6298f"/>
    <w:p>
      <w:pPr>
        <w:pStyle w:val="Heading2"/>
      </w:pPr>
      <w:r>
        <w:t xml:space="preserve">Astronomer Professional Services — Japan Kyoto</w:t>
      </w:r>
    </w:p>
    <w:p>
      <w:pPr>
        <w:pStyle w:val="FirstParagraph"/>
      </w:pPr>
      <w:r>
        <w:t xml:space="preserve">Kyoto Astronomical Research &amp; Cultural Institute</w:t>
      </w:r>
    </w:p>
    <w:p>
      <w:pPr>
        <w:pStyle w:val="BodyText"/>
      </w:pPr>
      <w:r>
        <w:t xml:space="preserve">12-4 Higashiyama-ku, Kyoto 605-0000, Japan</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KYOTO-AST-2025-0047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r>
      <w:tr>
        <w:tc>
          <w:tcPr/>
          <w:p>
            <w:pPr>
              <w:pStyle w:val="Compact"/>
              <w:jc w:val="left"/>
            </w:pPr>
            <w:r>
              <w:t xml:space="preserve">Prepared For:</w:t>
            </w:r>
          </w:p>
        </w:tc>
        <w:tc>
          <w:tcPr/>
          <w:p>
            <w:pPr>
              <w:pStyle w:val="Compact"/>
              <w:jc w:val="left"/>
            </w:pPr>
            <w:r>
              <w:t xml:space="preserve">Kyoto Municipal Cultural &amp; Scientific Affairs Bureau, Japan Kyoto</w:t>
            </w:r>
          </w:p>
        </w:tc>
      </w:tr>
      <w:tr>
        <w:tc>
          <w:tcPr/>
          <w:p>
            <w:pPr>
              <w:pStyle w:val="Compact"/>
              <w:jc w:val="left"/>
            </w:pPr>
            <w:r>
              <w:t xml:space="preserve">Prepared By:</w:t>
            </w:r>
          </w:p>
        </w:tc>
        <w:tc>
          <w:tcPr/>
          <w:p>
            <w:pPr>
              <w:pStyle w:val="Compact"/>
              <w:jc w:val="left"/>
            </w:pPr>
            <w:r>
              <w:t xml:space="preserve">Dr. Haruki Tanaka, Lead Astronomer &amp; Project Director</w:t>
            </w:r>
          </w:p>
        </w:tc>
      </w:tr>
      <w:tr>
        <w:tc>
          <w:tcPr/>
          <w:p>
            <w:pPr>
              <w:pStyle w:val="Compact"/>
              <w:jc w:val="left"/>
            </w:pPr>
            <w:r>
              <w:t xml:space="preserve">Project Location:</w:t>
            </w:r>
          </w:p>
        </w:tc>
        <w:tc>
          <w:tcPr/>
          <w:p>
            <w:pPr>
              <w:pStyle w:val="Compact"/>
              <w:jc w:val="left"/>
            </w:pPr>
            <w:r>
              <w:t xml:space="preserve">Japan Kyoto — Kyoto National Observatory &amp; Surrounding Sites</w:t>
            </w:r>
          </w:p>
        </w:tc>
      </w:tr>
      <w:tr>
        <w:tc>
          <w:tcPr/>
          <w:p>
            <w:pPr>
              <w:pStyle w:val="Compact"/>
              <w:jc w:val="left"/>
            </w:pPr>
            <w:r>
              <w:t xml:space="preserve">Currency:</w:t>
            </w:r>
          </w:p>
        </w:tc>
        <w:tc>
          <w:tcPr/>
          <w:p>
            <w:pPr>
              <w:pStyle w:val="Compact"/>
              <w:jc w:val="left"/>
            </w:pPr>
            <w:r>
              <w:t xml:space="preserve">Japanese Yen (JPY)</w:t>
            </w:r>
          </w:p>
        </w:tc>
      </w:tr>
    </w:tbl>
    <w:bookmarkStart w:id="22" w:name="executive-summary"/>
    <w:p>
      <w:pPr>
        <w:pStyle w:val="Heading3"/>
      </w:pPr>
      <w:r>
        <w:t xml:space="preserve">1. Executive Summary</w:t>
      </w:r>
    </w:p>
    <w:p>
      <w:pPr>
        <w:pStyle w:val="FirstParagraph"/>
      </w:pPr>
      <w:r>
        <w:t xml:space="preserve">This</w:t>
      </w:r>
      <w:r>
        <w:t xml:space="preserve"> </w:t>
      </w:r>
      <w:r>
        <w:t xml:space="preserve">Quotation Estimate</w:t>
      </w:r>
      <w:r>
        <w:t xml:space="preserve"> </w:t>
      </w:r>
      <w:r>
        <w:t xml:space="preserve">is formally submitted to the Kyoto Municipal Cultural &amp; Scientific Affairs Bureau for the engagement of a senior</w:t>
      </w:r>
      <w:r>
        <w:t xml:space="preserve"> </w:t>
      </w:r>
      <w:r>
        <w:t xml:space="preserve">Astronomer</w:t>
      </w:r>
      <w:r>
        <w:t xml:space="preserve"> </w:t>
      </w:r>
      <w:r>
        <w:t xml:space="preserve">to conduct a comprehensive twelve-month research, educational, and public outreach programme in</w:t>
      </w:r>
      <w:r>
        <w:t xml:space="preserve"> </w:t>
      </w:r>
      <w:r>
        <w:t xml:space="preserve">Japan Kyoto</w:t>
      </w:r>
      <w:r>
        <w:t xml:space="preserve">. The proposed engagement encompasses advanced astronomical observation, data analysis, public lectures, school partnerships, and the curation of a seasonal celestial exhibition at the Kyoto National Observatory. All services described herein are specifically tailored to the unique geographical, cultural, and academic context of Japan Kyoto, where the intersection of ancient astronomical tradition and modern scientific inquiry provides an unparalleled setting for this work.</w:t>
      </w:r>
    </w:p>
    <w:bookmarkEnd w:id="22"/>
    <w:bookmarkStart w:id="23" w:name="scope-of-services"/>
    <w:p>
      <w:pPr>
        <w:pStyle w:val="Heading3"/>
      </w:pPr>
      <w:r>
        <w:t xml:space="preserve">2. Scope of Services</w:t>
      </w:r>
    </w:p>
    <w:p>
      <w:pPr>
        <w:pStyle w:val="FirstParagraph"/>
      </w:pPr>
      <w:r>
        <w:t xml:space="preserve">The</w:t>
      </w:r>
      <w:r>
        <w:t xml:space="preserve"> </w:t>
      </w:r>
      <w:r>
        <w:t xml:space="preserve">Astronomer</w:t>
      </w:r>
      <w:r>
        <w:t xml:space="preserve"> </w:t>
      </w:r>
      <w:r>
        <w:t xml:space="preserve">engaged under this</w:t>
      </w:r>
      <w:r>
        <w:t xml:space="preserve"> </w:t>
      </w:r>
      <w:r>
        <w:t xml:space="preserve">Quotation Estimate</w:t>
      </w:r>
      <w:r>
        <w:t xml:space="preserve"> </w:t>
      </w:r>
      <w:r>
        <w:t xml:space="preserve">shall perform the following duties within the Japan Kyoto region:</w:t>
      </w:r>
    </w:p>
    <w:p>
      <w:pPr>
        <w:numPr>
          <w:ilvl w:val="0"/>
          <w:numId w:val="1001"/>
        </w:numPr>
        <w:pStyle w:val="Compact"/>
      </w:pPr>
      <w:r>
        <w:rPr>
          <w:bCs/>
          <w:b/>
        </w:rPr>
        <w:t xml:space="preserve">Observation &amp; Research (Months 1–12):</w:t>
      </w:r>
      <w:r>
        <w:t xml:space="preserve"> </w:t>
      </w:r>
      <w:r>
        <w:t xml:space="preserve">Conduct nightly astronomical observations using the 1.88-metre reflector telescope at the Kyoto National Observatory. Focus areas include variable star photometry, deep-sky object cataloguing, and monitoring of transient events (supernovae, gamma-ray bursts) visible from the Japan Kyoto latitude (35°01′N, 135°46′E).</w:t>
      </w:r>
    </w:p>
    <w:p>
      <w:pPr>
        <w:numPr>
          <w:ilvl w:val="0"/>
          <w:numId w:val="1001"/>
        </w:numPr>
        <w:pStyle w:val="Compact"/>
      </w:pPr>
      <w:r>
        <w:rPr>
          <w:bCs/>
          <w:b/>
        </w:rPr>
        <w:t xml:space="preserve">Data Analysis &amp; Publication (Months 3–12):</w:t>
      </w:r>
      <w:r>
        <w:t xml:space="preserve"> </w:t>
      </w:r>
      <w:r>
        <w:t xml:space="preserve">Process and analyse all collected datasets. Produce a minimum of three peer-reviewed research papers and one comprehensive annual report submitted to the Japan Kyoto astronomical society.</w:t>
      </w:r>
    </w:p>
    <w:p>
      <w:pPr>
        <w:numPr>
          <w:ilvl w:val="0"/>
          <w:numId w:val="1001"/>
        </w:numPr>
        <w:pStyle w:val="Compact"/>
      </w:pPr>
      <w:r>
        <w:rPr>
          <w:bCs/>
          <w:b/>
        </w:rPr>
        <w:t xml:space="preserve">Public Education &amp; Outreach (Monthly):</w:t>
      </w:r>
      <w:r>
        <w:t xml:space="preserve"> </w:t>
      </w:r>
      <w:r>
        <w:t xml:space="preserve">Deliver a minimum of two public lectures per month at the Kyoto City Science Centre and one community stargazing event per month at the Arashiyama riverside observation deck in Japan Kyoto.</w:t>
      </w:r>
    </w:p>
    <w:p>
      <w:pPr>
        <w:numPr>
          <w:ilvl w:val="0"/>
          <w:numId w:val="1001"/>
        </w:numPr>
        <w:pStyle w:val="Compact"/>
      </w:pPr>
      <w:r>
        <w:rPr>
          <w:bCs/>
          <w:b/>
        </w:rPr>
        <w:t xml:space="preserve">School Partnerships (Semester-based):</w:t>
      </w:r>
      <w:r>
        <w:t xml:space="preserve"> </w:t>
      </w:r>
      <w:r>
        <w:t xml:space="preserve">Design and deliver hands-on astronomy workshops for a minimum of six secondary schools in the Japan Kyoto metropolitan area, covering topics from celestial navigation to exoplanet detection.</w:t>
      </w:r>
    </w:p>
    <w:p>
      <w:pPr>
        <w:numPr>
          <w:ilvl w:val="0"/>
          <w:numId w:val="1001"/>
        </w:numPr>
        <w:pStyle w:val="Compact"/>
      </w:pPr>
      <w:r>
        <w:rPr>
          <w:bCs/>
          <w:b/>
        </w:rPr>
        <w:t xml:space="preserve">Seasonal Exhibition Curation (Months 4–6 and 10–12):</w:t>
      </w:r>
      <w:r>
        <w:t xml:space="preserve"> </w:t>
      </w:r>
      <w:r>
        <w:t xml:space="preserve">Curate and install a temporary exhibition titled “Heavenly Spheres: Astronomy in Japan Kyoto” at the Kyoto Municipal Museum, integrating historical Japanese astronomical instruments with modern observational data.</w:t>
      </w:r>
    </w:p>
    <w:p>
      <w:pPr>
        <w:numPr>
          <w:ilvl w:val="0"/>
          <w:numId w:val="1001"/>
        </w:numPr>
        <w:pStyle w:val="Compact"/>
      </w:pPr>
      <w:r>
        <w:rPr>
          <w:bCs/>
          <w:b/>
        </w:rPr>
        <w:t xml:space="preserve">Advisory Consultation (Ongoing):</w:t>
      </w:r>
      <w:r>
        <w:t xml:space="preserve"> </w:t>
      </w:r>
      <w:r>
        <w:t xml:space="preserve">Serve as a technical advisor to the Japan Kyoto city planning department on light-pollution mitigation strategies and dark-sky preservation policies for the Japan Kyoto metropolitan corridor.</w:t>
      </w:r>
    </w:p>
    <w:bookmarkEnd w:id="23"/>
    <w:bookmarkStart w:id="24" w:name="itemised-cost-breakdown"/>
    <w:p>
      <w:pPr>
        <w:pStyle w:val="Heading3"/>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Cost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Senior Astronomer professional fee (research &amp; observation)</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Public lectures &amp; community stargazing events (Japan Kyoto venues)</w:t>
            </w:r>
          </w:p>
        </w:tc>
        <w:tc>
          <w:tcPr/>
          <w:p>
            <w:pPr>
              <w:pStyle w:val="Compact"/>
              <w:jc w:val="left"/>
            </w:pPr>
            <w:r>
              <w:t xml:space="preserve">36 events</w:t>
            </w:r>
          </w:p>
        </w:tc>
        <w:tc>
          <w:tcPr/>
          <w:p>
            <w:pPr>
              <w:pStyle w:val="Compact"/>
              <w:jc w:val="left"/>
            </w:pPr>
            <w:r>
              <w:t xml:space="preserve">120,000</w:t>
            </w:r>
          </w:p>
        </w:tc>
        <w:tc>
          <w:tcPr/>
          <w:p>
            <w:pPr>
              <w:pStyle w:val="Compact"/>
              <w:jc w:val="left"/>
            </w:pPr>
            <w:r>
              <w:t xml:space="preserve">4,320,000</w:t>
            </w:r>
          </w:p>
        </w:tc>
      </w:tr>
      <w:tr>
        <w:tc>
          <w:tcPr/>
          <w:p>
            <w:pPr>
              <w:pStyle w:val="Compact"/>
              <w:jc w:val="left"/>
            </w:pPr>
            <w:r>
              <w:t xml:space="preserve">03</w:t>
            </w:r>
          </w:p>
        </w:tc>
        <w:tc>
          <w:tcPr/>
          <w:p>
            <w:pPr>
              <w:pStyle w:val="Compact"/>
              <w:jc w:val="left"/>
            </w:pPr>
            <w:r>
              <w:t xml:space="preserve">School workshop programme design &amp; delivery (6 schools, Japan Kyoto)</w:t>
            </w:r>
          </w:p>
        </w:tc>
        <w:tc>
          <w:tcPr/>
          <w:p>
            <w:pPr>
              <w:pStyle w:val="Compact"/>
              <w:jc w:val="left"/>
            </w:pPr>
            <w:r>
              <w:t xml:space="preserve">12 sessions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Seasonal exhibition curation, design &amp; installation (Kyoto Municipal Museum)</w:t>
            </w:r>
          </w:p>
        </w:tc>
        <w:tc>
          <w:tcPr/>
          <w:p>
            <w:pPr>
              <w:pStyle w:val="Compact"/>
              <w:jc w:val="left"/>
            </w:pPr>
            <w:r>
              <w:t xml:space="preserve">2 exhibitions</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05</w:t>
            </w:r>
          </w:p>
        </w:tc>
        <w:tc>
          <w:tcPr/>
          <w:p>
            <w:pPr>
              <w:pStyle w:val="Compact"/>
              <w:jc w:val="left"/>
            </w:pPr>
            <w:r>
              <w:t xml:space="preserve">Light-pollution advisory &amp; dark-sky policy consultation (Japan Kyoto)</w:t>
            </w:r>
          </w:p>
        </w:tc>
        <w:tc>
          <w:tcPr/>
          <w:p>
            <w:pPr>
              <w:pStyle w:val="Compact"/>
              <w:jc w:val="left"/>
            </w:pPr>
            <w:r>
              <w:t xml:space="preserve">12 months</w:t>
            </w:r>
          </w:p>
        </w:tc>
        <w:tc>
          <w:tcPr/>
          <w:p>
            <w:pPr>
              <w:pStyle w:val="Compact"/>
              <w:jc w:val="left"/>
            </w:pPr>
            <w:r>
              <w:t xml:space="preserve">200,000</w:t>
            </w:r>
          </w:p>
        </w:tc>
        <w:tc>
          <w:tcPr/>
          <w:p>
            <w:pPr>
              <w:pStyle w:val="Compact"/>
              <w:jc w:val="left"/>
            </w:pPr>
            <w:r>
              <w:t xml:space="preserve">2,400,000</w:t>
            </w:r>
          </w:p>
        </w:tc>
      </w:tr>
      <w:tr>
        <w:tc>
          <w:tcPr/>
          <w:p>
            <w:pPr>
              <w:pStyle w:val="Compact"/>
              <w:jc w:val="left"/>
            </w:pPr>
            <w:r>
              <w:t xml:space="preserve">06</w:t>
            </w:r>
          </w:p>
        </w:tc>
        <w:tc>
          <w:tcPr/>
          <w:p>
            <w:pPr>
              <w:pStyle w:val="Compact"/>
              <w:jc w:val="left"/>
            </w:pPr>
            <w:r>
              <w:t xml:space="preserve">Telescope maintenance, calibration &amp; consumables</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07</w:t>
            </w:r>
          </w:p>
        </w:tc>
        <w:tc>
          <w:tcPr/>
          <w:p>
            <w:pPr>
              <w:pStyle w:val="Compact"/>
              <w:jc w:val="left"/>
            </w:pPr>
            <w:r>
              <w:t xml:space="preserve">Travel &amp; accommodation within Japan Kyoto (field observations, Arashiyama, Mt. Hiei)</w:t>
            </w:r>
          </w:p>
        </w:tc>
        <w:tc>
          <w:tcPr/>
          <w:p>
            <w:pPr>
              <w:pStyle w:val="Compact"/>
              <w:jc w:val="left"/>
            </w:pPr>
            <w:r>
              <w:t xml:space="preserve">12 months</w:t>
            </w:r>
          </w:p>
        </w:tc>
        <w:tc>
          <w:tcPr/>
          <w:p>
            <w:pPr>
              <w:pStyle w:val="Compact"/>
              <w:jc w:val="left"/>
            </w:pPr>
            <w:r>
              <w:t xml:space="preserve">75,000</w:t>
            </w:r>
          </w:p>
        </w:tc>
        <w:tc>
          <w:tcPr/>
          <w:p>
            <w:pPr>
              <w:pStyle w:val="Compact"/>
              <w:jc w:val="left"/>
            </w:pPr>
            <w:r>
              <w:t xml:space="preserve">900,000</w:t>
            </w:r>
          </w:p>
        </w:tc>
      </w:tr>
      <w:tr>
        <w:tc>
          <w:tcPr/>
          <w:p>
            <w:pPr>
              <w:pStyle w:val="Compact"/>
              <w:jc w:val="left"/>
            </w:pPr>
            <w:r>
              <w:t xml:space="preserve">08</w:t>
            </w:r>
          </w:p>
        </w:tc>
        <w:tc>
          <w:tcPr/>
          <w:p>
            <w:pPr>
              <w:pStyle w:val="Compact"/>
              <w:jc w:val="left"/>
            </w:pPr>
            <w:r>
              <w:t xml:space="preserve">Publication, printing &amp; digital dissemination of reports</w:t>
            </w:r>
          </w:p>
        </w:tc>
        <w:tc>
          <w:tcPr/>
          <w:p>
            <w:pPr>
              <w:pStyle w:val="Compact"/>
              <w:jc w:val="left"/>
            </w:pPr>
            <w:r>
              <w:t xml:space="preserve">4 deliverables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09</w:t>
            </w:r>
          </w:p>
        </w:tc>
        <w:tc>
          <w:tcPr/>
          <w:p>
            <w:pPr>
              <w:pStyle w:val="Compact"/>
              <w:jc w:val="left"/>
            </w:pPr>
            <w:r>
              <w:t xml:space="preserve">Administrative &amp; project management overhead</w:t>
            </w:r>
          </w:p>
        </w:tc>
        <w:tc>
          <w:tcPr/>
          <w:p>
            <w:pPr>
              <w:pStyle w:val="Compact"/>
              <w:jc w:val="left"/>
            </w:pPr>
            <w:r>
              <w:t xml:space="preserve">12 months</w:t>
            </w:r>
          </w:p>
        </w:tc>
        <w:tc>
          <w:tcPr/>
          <w:p>
            <w:pPr>
              <w:pStyle w:val="Compact"/>
              <w:jc w:val="left"/>
            </w:pPr>
            <w:r>
              <w:t xml:space="preserve">110,000</w:t>
            </w:r>
          </w:p>
        </w:tc>
        <w:tc>
          <w:tcPr/>
          <w:p>
            <w:pPr>
              <w:pStyle w:val="Compact"/>
              <w:jc w:val="left"/>
            </w:pPr>
            <w:r>
              <w:t xml:space="preserve">1,320,000</w:t>
            </w:r>
          </w:p>
        </w:tc>
      </w:tr>
      <w:tr>
        <w:tc>
          <w:tcPr>
            <w:gridSpan w:val="4"/>
          </w:tcPr>
          <w:p>
            <w:pPr>
              <w:pStyle w:val="Compact"/>
              <w:jc w:val="left"/>
            </w:pPr>
            <w:r>
              <w:t xml:space="preserve">Subtotal</w:t>
            </w:r>
          </w:p>
        </w:tc>
        <w:tc>
          <w:tcPr/>
          <w:p>
            <w:pPr>
              <w:pStyle w:val="Compact"/>
              <w:jc w:val="left"/>
            </w:pPr>
            <w:r>
              <w:t xml:space="preserve">26,040,000</w:t>
            </w:r>
          </w:p>
        </w:tc>
      </w:tr>
      <w:tr>
        <w:tc>
          <w:tcPr>
            <w:gridSpan w:val="4"/>
          </w:tcPr>
          <w:p>
            <w:pPr>
              <w:pStyle w:val="Compact"/>
              <w:jc w:val="left"/>
            </w:pPr>
            <w:r>
              <w:t xml:space="preserve">Consumption Tax (10%)</w:t>
            </w:r>
          </w:p>
        </w:tc>
        <w:tc>
          <w:tcPr/>
          <w:p>
            <w:pPr>
              <w:pStyle w:val="Compact"/>
              <w:jc w:val="left"/>
            </w:pPr>
            <w:r>
              <w:t xml:space="preserve">2,604,000</w:t>
            </w:r>
          </w:p>
        </w:tc>
      </w:tr>
      <w:tr>
        <w:tc>
          <w:tcPr>
            <w:gridSpan w:val="4"/>
          </w:tcPr>
          <w:p>
            <w:pPr>
              <w:pStyle w:val="Compact"/>
              <w:jc w:val="left"/>
            </w:pPr>
            <w:r>
              <w:t xml:space="preserve">GRAND TOTAL (JPY)</w:t>
            </w:r>
          </w:p>
        </w:tc>
        <w:tc>
          <w:tcPr/>
          <w:p>
            <w:pPr>
              <w:pStyle w:val="Compact"/>
              <w:jc w:val="left"/>
            </w:pPr>
            <w:r>
              <w:t xml:space="preserve">28,644,000</w:t>
            </w:r>
          </w:p>
        </w:tc>
      </w:tr>
    </w:tbl>
    <w:bookmarkEnd w:id="24"/>
    <w:bookmarkStart w:id="25" w:name="payment-schedule"/>
    <w:p>
      <w:pPr>
        <w:pStyle w:val="Heading3"/>
      </w:pPr>
      <w:r>
        <w:t xml:space="preserve">4. Payment Schedule</w:t>
      </w:r>
    </w:p>
    <w:p>
      <w:pPr>
        <w:pStyle w:val="FirstParagraph"/>
      </w:pPr>
      <w:r>
        <w:t xml:space="preserve">This</w:t>
      </w:r>
      <w:r>
        <w:t xml:space="preserve"> </w:t>
      </w:r>
      <w:r>
        <w:t xml:space="preserve">Quotation Estimate</w:t>
      </w:r>
      <w:r>
        <w:t xml:space="preserve"> </w:t>
      </w:r>
      <w:r>
        <w:t xml:space="preserve">stipulates the following payment milestones, all denominated in Japanese Yen and payable to the Kyoto Astronomical Research &amp; Cultural Institute:</w:t>
      </w:r>
    </w:p>
    <w:p>
      <w:pPr>
        <w:numPr>
          <w:ilvl w:val="0"/>
          <w:numId w:val="1002"/>
        </w:numPr>
        <w:pStyle w:val="Compact"/>
      </w:pPr>
      <w:r>
        <w:rPr>
          <w:bCs/>
          <w:b/>
        </w:rPr>
        <w:t xml:space="preserve">30% advance payment</w:t>
      </w:r>
      <w:r>
        <w:t xml:space="preserve"> </w:t>
      </w:r>
      <w:r>
        <w:t xml:space="preserve">(JPY 8,593,200) upon execution of the contract and acceptance of this Quotation Estimate.</w:t>
      </w:r>
    </w:p>
    <w:p>
      <w:pPr>
        <w:numPr>
          <w:ilvl w:val="0"/>
          <w:numId w:val="1002"/>
        </w:numPr>
        <w:pStyle w:val="Compact"/>
      </w:pPr>
      <w:r>
        <w:rPr>
          <w:bCs/>
          <w:b/>
        </w:rPr>
        <w:t xml:space="preserve">40% interim payment</w:t>
      </w:r>
      <w:r>
        <w:t xml:space="preserve"> </w:t>
      </w:r>
      <w:r>
        <w:t xml:space="preserve">(JPY 11,457,600) due at the completion of Month 6, subject to delivery of the mid-term progress report and exhibition installation.</w:t>
      </w:r>
    </w:p>
    <w:p>
      <w:pPr>
        <w:numPr>
          <w:ilvl w:val="0"/>
          <w:numId w:val="1002"/>
        </w:numPr>
        <w:pStyle w:val="Compact"/>
      </w:pPr>
      <w:r>
        <w:rPr>
          <w:bCs/>
          <w:b/>
        </w:rPr>
        <w:t xml:space="preserve">30% final payment</w:t>
      </w:r>
      <w:r>
        <w:t xml:space="preserve"> </w:t>
      </w:r>
      <w:r>
        <w:t xml:space="preserve">(JPY 8,593,200) due upon completion of Month 12, subject to delivery of the final annual report, all publications, and the closing exhibition de-installation.</w:t>
      </w:r>
    </w:p>
    <w:bookmarkEnd w:id="25"/>
    <w:bookmarkStart w:id="26" w:name="terms-conditions"/>
    <w:p>
      <w:pPr>
        <w:pStyle w:val="Heading3"/>
      </w:pPr>
      <w:r>
        <w:t xml:space="preserve">5. Terms &amp; Conditions</w:t>
      </w:r>
    </w:p>
    <w:p>
      <w:pPr>
        <w:numPr>
          <w:ilvl w:val="0"/>
          <w:numId w:val="1003"/>
        </w:numPr>
        <w:pStyle w:val="Compact"/>
      </w:pPr>
      <w:r>
        <w:t xml:space="preserve">This Quotation Estimate is valid for a period of ninety (90) calendar days from the date of issue. Beyond this period, all rates are subject to revision.</w:t>
      </w:r>
    </w:p>
    <w:p>
      <w:pPr>
        <w:numPr>
          <w:ilvl w:val="0"/>
          <w:numId w:val="1003"/>
        </w:numPr>
        <w:pStyle w:val="Compact"/>
      </w:pPr>
      <w:r>
        <w:t xml:space="preserve">The Astronomer shall maintain full professional liability insurance and comply with all applicable Japanese national and Japan Kyoto municipal regulations governing public gatherings, educational activities, and research operations.</w:t>
      </w:r>
    </w:p>
    <w:p>
      <w:pPr>
        <w:numPr>
          <w:ilvl w:val="0"/>
          <w:numId w:val="1003"/>
        </w:numPr>
        <w:pStyle w:val="Compact"/>
      </w:pPr>
      <w:r>
        <w:t xml:space="preserve">All intellectual property generated during the engagement, including observational data, publications, and exhibition materials, shall be jointly owned by the Astronomer and the Japan Kyoto Municipal Bureau, with mutual consent required for any third-party commercial use.</w:t>
      </w:r>
    </w:p>
    <w:p>
      <w:pPr>
        <w:numPr>
          <w:ilvl w:val="0"/>
          <w:numId w:val="1003"/>
        </w:numPr>
        <w:pStyle w:val="Compact"/>
      </w:pPr>
      <w:r>
        <w:t xml:space="preserve">Force majeure events, including but not limited to natural disasters (earthquakes, typhoons) common to the Japan Kyoto region, shall suspend contractual obligations without penalty for a period not exceeding thirty (30) days.</w:t>
      </w:r>
    </w:p>
    <w:p>
      <w:pPr>
        <w:numPr>
          <w:ilvl w:val="0"/>
          <w:numId w:val="1003"/>
        </w:numPr>
        <w:pStyle w:val="Compact"/>
      </w:pPr>
      <w:r>
        <w:t xml:space="preserve">Any disputes arising from this Quotation Estimate shall be resolved through mediation under the jurisdiction of the Japan Kyoto District Court.</w:t>
      </w:r>
    </w:p>
    <w:p>
      <w:pPr>
        <w:numPr>
          <w:ilvl w:val="0"/>
          <w:numId w:val="1003"/>
        </w:numPr>
        <w:pStyle w:val="Compact"/>
      </w:pPr>
      <w:r>
        <w:t xml:space="preserve">The Astronomer shall observe all cultural sensitivities and protocols specific to Japan Kyoto, including respect for Shinto and Buddhist sites during field observation activities.</w:t>
      </w:r>
    </w:p>
    <w:p>
      <w:pPr>
        <w:numPr>
          <w:ilvl w:val="0"/>
          <w:numId w:val="1003"/>
        </w:numPr>
        <w:pStyle w:val="Compact"/>
      </w:pPr>
      <w:r>
        <w:t xml:space="preserve">This Quotation Estimate does not constitute a binding contract until countersigned by both parties and the advance payment has been received.</w:t>
      </w:r>
    </w:p>
    <w:bookmarkEnd w:id="26"/>
    <w:bookmarkStart w:id="27" w:name="acceptance-authorisation"/>
    <w:p>
      <w:pPr>
        <w:pStyle w:val="Heading3"/>
      </w:pPr>
      <w:r>
        <w:t xml:space="preserve">6. Acceptance &amp; Authorisation</w:t>
      </w:r>
    </w:p>
    <w:p>
      <w:pPr>
        <w:pStyle w:val="FirstParagraph"/>
      </w:pPr>
      <w:r>
        <w:t xml:space="preserve">By signing below, both parties acknowledge and accept the terms, scope, and financial obligations outlined in this Quotation Estimate for the Astronomer engagement in Japan Kyoto.</w:t>
      </w:r>
    </w:p>
    <w:p>
      <w:pPr>
        <w:pStyle w:val="BodyText"/>
      </w:pPr>
      <w:r>
        <w:rPr>
          <w:bCs/>
          <w:b/>
        </w:rPr>
        <w:t xml:space="preserve">For the Client:</w:t>
      </w:r>
    </w:p>
    <w:p>
      <w:pPr>
        <w:pStyle w:val="BodyText"/>
      </w:pPr>
      <w:r>
        <w:t xml:space="preserve">Kyoto Municipal Cultural &amp; Scientific Affairs Bureau</w:t>
      </w:r>
    </w:p>
    <w:p>
      <w:pPr>
        <w:pStyle w:val="BodyText"/>
      </w:pPr>
      <w:r>
        <w:t xml:space="preserve">Name: ______________________________</w:t>
      </w:r>
      <w:r>
        <w:br/>
      </w:r>
      <w:r>
        <w:t xml:space="preserve">Title: Director, Japan Kyoto Cultural Affairs</w:t>
      </w:r>
      <w:r>
        <w:br/>
      </w:r>
      <w:r>
        <w:t xml:space="preserve">Signature: ______________________________</w:t>
      </w:r>
      <w:r>
        <w:br/>
      </w:r>
      <w:r>
        <w:t xml:space="preserve">Date: ______________________________</w:t>
      </w:r>
    </w:p>
    <w:p>
      <w:pPr>
        <w:pStyle w:val="BodyText"/>
      </w:pPr>
      <w:r>
        <w:rPr>
          <w:bCs/>
          <w:b/>
        </w:rPr>
        <w:t xml:space="preserve">For the Provider:</w:t>
      </w:r>
    </w:p>
    <w:p>
      <w:pPr>
        <w:pStyle w:val="BodyText"/>
      </w:pPr>
      <w:r>
        <w:t xml:space="preserve">Kyoto Astronomical Research &amp; Cultural Institute</w:t>
      </w:r>
    </w:p>
    <w:p>
      <w:pPr>
        <w:pStyle w:val="BodyText"/>
      </w:pPr>
      <w:r>
        <w:t xml:space="preserve">Name: Dr. Haruki Tanaka</w:t>
      </w:r>
      <w:r>
        <w:br/>
      </w:r>
      <w:r>
        <w:t xml:space="preserve">Title: Lead Astronomer &amp; Project Director</w:t>
      </w:r>
      <w:r>
        <w:br/>
      </w:r>
      <w:r>
        <w:t xml:space="preserve">Signature: ______________________________</w:t>
      </w:r>
      <w:r>
        <w:br/>
      </w:r>
      <w:r>
        <w:t xml:space="preserve">Date: ______________________________</w:t>
      </w:r>
    </w:p>
    <w:p>
      <w:pPr>
        <w:pStyle w:val="BodyText"/>
      </w:pPr>
      <w:r>
        <w:t xml:space="preserve">Quotation Estimate No. KYOTO-AST-2025-0047 — Astronomer Services — Japan Kyoto</w:t>
      </w:r>
    </w:p>
    <w:p>
      <w:pPr>
        <w:pStyle w:val="BodyText"/>
      </w:pPr>
      <w:r>
        <w:t xml:space="preserve">This document is the property of the Kyoto Astronomical Research &amp; Cultural Institute. Unauthorised reproduction is prohibited.</w:t>
      </w:r>
    </w:p>
    <w:p>
      <w:pPr>
        <w:pStyle w:val="BodyText"/>
      </w:pPr>
      <w:r>
        <w:t xml:space="preserve">© 2025 Kyoto Astronomical Research &amp; Cultural Institute, Japan Kyoto.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Japan Kyoto</dc:title>
  <dc:creator/>
  <dc:language>en</dc:language>
  <cp:keywords/>
  <dcterms:created xsi:type="dcterms:W3CDTF">2026-10-10T04:11:37Z</dcterms:created>
  <dcterms:modified xsi:type="dcterms:W3CDTF">2026-10-10T04:11:37Z</dcterms:modified>
</cp:coreProperties>
</file>

<file path=docProps/custom.xml><?xml version="1.0" encoding="utf-8"?>
<Properties xmlns="http://schemas.openxmlformats.org/officeDocument/2006/custom-properties" xmlns:vt="http://schemas.openxmlformats.org/officeDocument/2006/docPropsVTypes"/>
</file>