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Stellar Horizon Research &amp; Consulting Group</w:t>
      </w:r>
    </w:p>
    <w:p>
      <w:pPr>
        <w:pStyle w:val="BodyText"/>
      </w:pPr>
      <w:r>
        <w:t xml:space="preserve">42-15 Tennoji, Chuo-ku, Osaka 541-0053, Japan Osaka</w:t>
      </w:r>
    </w:p>
    <w:p>
      <w:pPr>
        <w:pStyle w:val="BodyText"/>
      </w:pPr>
      <w:r>
        <w:t xml:space="preserve">Tel: +81-6-6771-2345 | Email: estimates@stellarhorizon.jp</w:t>
      </w:r>
    </w:p>
    <w:p>
      <w:pPr>
        <w:pStyle w:val="BodyText"/>
      </w:pPr>
      <w:r>
        <w:t xml:space="preserve">Corporate Registration No. JP-OSK-2019-44821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Osaka Metropolitan Astronomical Research Institute (OMARI)</w:t>
            </w:r>
          </w:p>
        </w:tc>
      </w:tr>
      <w:tr>
        <w:tc>
          <w:tcPr/>
          <w:p>
            <w:pPr>
              <w:pStyle w:val="Compact"/>
              <w:jc w:val="left"/>
            </w:pPr>
            <w:r>
              <w:t xml:space="preserve">Client Address</w:t>
            </w:r>
          </w:p>
        </w:tc>
        <w:tc>
          <w:tcPr/>
          <w:p>
            <w:pPr>
              <w:pStyle w:val="Compact"/>
              <w:jc w:val="left"/>
            </w:pPr>
            <w:r>
              <w:t xml:space="preserve">1-2-3 Umeda, Kita-ku, Osaka 530-0001, Japan Osaka</w:t>
            </w:r>
          </w:p>
        </w:tc>
      </w:tr>
      <w:tr>
        <w:tc>
          <w:tcPr/>
          <w:p>
            <w:pPr>
              <w:pStyle w:val="Compact"/>
              <w:jc w:val="left"/>
            </w:pPr>
            <w:r>
              <w:t xml:space="preserve">Client Contact</w:t>
            </w:r>
          </w:p>
        </w:tc>
        <w:tc>
          <w:tcPr/>
          <w:p>
            <w:pPr>
              <w:pStyle w:val="Compact"/>
              <w:jc w:val="left"/>
            </w:pPr>
            <w:r>
              <w:t xml:space="preserve">Dr. Kenji Tanaka, Director of Research Operations</w:t>
            </w:r>
          </w:p>
        </w:tc>
      </w:tr>
      <w:tr>
        <w:tc>
          <w:tcPr/>
          <w:p>
            <w:pPr>
              <w:pStyle w:val="Compact"/>
              <w:jc w:val="left"/>
            </w:pPr>
            <w:r>
              <w:t xml:space="preserve">Project Reference</w:t>
            </w:r>
          </w:p>
        </w:tc>
        <w:tc>
          <w:tcPr/>
          <w:p>
            <w:pPr>
              <w:pStyle w:val="Compact"/>
              <w:jc w:val="left"/>
            </w:pPr>
            <w:r>
              <w:t xml:space="preserve">OMARI-2025-Astro-Engagement-003</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Stellar Horizon Research &amp; Consulting Group in response to the formal request submitted by the Osaka Metropolitan Astronomical Research Institute (OMARI) for the professional engagement of a senior Astronomer to support ongoing and upcoming observational campaigns, data analysis projects, and public outreach programmes based in Japan Osaka. This document provides a comprehensive, itemised breakdown of all costs associated with the Astronomer's services, travel, accommodation, equipment usage, and ancillary support required for the duration of the engagement in Japan Osaka.</w:t>
      </w:r>
    </w:p>
    <w:bookmarkEnd w:id="21"/>
    <w:bookmarkStart w:id="22" w:name="scope-of-services-astronomer-engagement"/>
    <w:p>
      <w:pPr>
        <w:pStyle w:val="Heading2"/>
      </w:pPr>
      <w:r>
        <w:t xml:space="preserve">2. Scope of Services – Astronomer Engagement</w:t>
      </w:r>
    </w:p>
    <w:p>
      <w:pPr>
        <w:pStyle w:val="FirstParagraph"/>
      </w:pPr>
      <w:r>
        <w:t xml:space="preserve">The Astronomer engaged under this Quotation Estimate shall provide the following professional services to OMARI in Japan Osaka:</w:t>
      </w:r>
    </w:p>
    <w:p>
      <w:pPr>
        <w:numPr>
          <w:ilvl w:val="0"/>
          <w:numId w:val="1001"/>
        </w:numPr>
        <w:pStyle w:val="Compact"/>
      </w:pPr>
      <w:r>
        <w:t xml:space="preserve">Design and execution of deep-sky observational programmes utilising the 2.2-metre optical telescope at the OMARI facility in Japan Osaka.</w:t>
      </w:r>
    </w:p>
    <w:p>
      <w:pPr>
        <w:numPr>
          <w:ilvl w:val="0"/>
          <w:numId w:val="1001"/>
        </w:numPr>
        <w:pStyle w:val="Compact"/>
      </w:pPr>
      <w:r>
        <w:t xml:space="preserve">Spectroscopic analysis of variable stars, exoplanet transit events, and transient phenomena (supernovae, gamma-ray burst afterglows) detected by the Japan Osaka monitoring network.</w:t>
      </w:r>
    </w:p>
    <w:p>
      <w:pPr>
        <w:numPr>
          <w:ilvl w:val="0"/>
          <w:numId w:val="1001"/>
        </w:numPr>
        <w:pStyle w:val="Compact"/>
      </w:pPr>
      <w:r>
        <w:t xml:space="preserve">Development and calibration of data reduction pipelines for multi-epoch photometric and spectroscopic datasets.</w:t>
      </w:r>
    </w:p>
    <w:p>
      <w:pPr>
        <w:numPr>
          <w:ilvl w:val="0"/>
          <w:numId w:val="1001"/>
        </w:numPr>
        <w:pStyle w:val="Compact"/>
      </w:pPr>
      <w:r>
        <w:t xml:space="preserve">Supervision and mentorship of a team of four junior researchers and two graduate students at the Japan Osaka campus.</w:t>
      </w:r>
    </w:p>
    <w:p>
      <w:pPr>
        <w:numPr>
          <w:ilvl w:val="0"/>
          <w:numId w:val="1001"/>
        </w:numPr>
        <w:pStyle w:val="Compact"/>
      </w:pPr>
      <w:r>
        <w:t xml:space="preserve">Preparation of peer-reviewed publications and conference presentations representing the findings of the Japan Osaka research group.</w:t>
      </w:r>
    </w:p>
    <w:p>
      <w:pPr>
        <w:numPr>
          <w:ilvl w:val="0"/>
          <w:numId w:val="1001"/>
        </w:numPr>
        <w:pStyle w:val="Compact"/>
      </w:pPr>
      <w:r>
        <w:t xml:space="preserve">Participation in public astronomy outreach events, school visits, and community lectures scheduled across the Japan Osaka metropolitan area.</w:t>
      </w:r>
    </w:p>
    <w:p>
      <w:pPr>
        <w:numPr>
          <w:ilvl w:val="0"/>
          <w:numId w:val="1001"/>
        </w:numPr>
        <w:pStyle w:val="Compact"/>
      </w:pPr>
      <w:r>
        <w:t xml:space="preserve">Collaboration with the Japan Osaka University Department of Physics on joint grant proposals for the next fiscal cycle.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Astronomer – Professional Fee (full-time engagement, 40 hrs/week)</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Telescope Time Allocation – 2.2-m Optical Facility, Japan Osaka</w:t>
            </w:r>
          </w:p>
        </w:tc>
        <w:tc>
          <w:tcPr/>
          <w:p>
            <w:pPr>
              <w:pStyle w:val="Compact"/>
              <w:jc w:val="left"/>
            </w:pPr>
            <w:r>
              <w:t xml:space="preserve">180 nights</w:t>
            </w:r>
          </w:p>
        </w:tc>
        <w:tc>
          <w:tcPr/>
          <w:p>
            <w:pPr>
              <w:pStyle w:val="Compact"/>
              <w:jc w:val="left"/>
            </w:pPr>
            <w:r>
              <w:t xml:space="preserve">45,000 / night</w:t>
            </w:r>
          </w:p>
        </w:tc>
        <w:tc>
          <w:tcPr/>
          <w:p>
            <w:pPr>
              <w:pStyle w:val="Compact"/>
              <w:jc w:val="left"/>
            </w:pPr>
            <w:r>
              <w:t xml:space="preserve">8,100,000</w:t>
            </w:r>
          </w:p>
        </w:tc>
      </w:tr>
      <w:tr>
        <w:tc>
          <w:tcPr/>
          <w:p>
            <w:pPr>
              <w:pStyle w:val="Compact"/>
              <w:jc w:val="left"/>
            </w:pPr>
            <w:r>
              <w:t xml:space="preserve">03</w:t>
            </w:r>
          </w:p>
        </w:tc>
        <w:tc>
          <w:tcPr/>
          <w:p>
            <w:pPr>
              <w:pStyle w:val="Compact"/>
              <w:jc w:val="left"/>
            </w:pPr>
            <w:r>
              <w:t xml:space="preserve">High-Performance Computing Access &amp; Data Storage (10 TB)</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Specialist Software Licences (AstroPy, IRAF, custom pipeline tools)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Travel &amp; Accommodation for Astronomer (relocation to Japan Osaka)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Public Outreach &amp; Community Engagement Programme (Japan Osaka schools, 12 events)</w:t>
            </w:r>
          </w:p>
        </w:tc>
        <w:tc>
          <w:tcPr/>
          <w:p>
            <w:pPr>
              <w:pStyle w:val="Compact"/>
              <w:jc w:val="left"/>
            </w:pPr>
            <w:r>
              <w:t xml:space="preserve">12 events</w:t>
            </w:r>
          </w:p>
        </w:tc>
        <w:tc>
          <w:tcPr/>
          <w:p>
            <w:pPr>
              <w:pStyle w:val="Compact"/>
              <w:jc w:val="left"/>
            </w:pPr>
            <w:r>
              <w:t xml:space="preserve">180,000 / event</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Conference Travel &amp; Presentation Fees (2 international, 3 domestic Japan Osaka)</w:t>
            </w:r>
          </w:p>
        </w:tc>
        <w:tc>
          <w:tcPr/>
          <w:p>
            <w:pPr>
              <w:pStyle w:val="Compact"/>
              <w:jc w:val="left"/>
            </w:pPr>
            <w:r>
              <w:t xml:space="preserve">5 conferences</w:t>
            </w:r>
          </w:p>
        </w:tc>
        <w:tc>
          <w:tcPr/>
          <w:p>
            <w:pPr>
              <w:pStyle w:val="Compact"/>
              <w:jc w:val="left"/>
            </w:pPr>
            <w:r>
              <w:t xml:space="preserve">—</w:t>
            </w:r>
          </w:p>
        </w:tc>
        <w:tc>
          <w:tcPr/>
          <w:p>
            <w:pPr>
              <w:pStyle w:val="Compact"/>
              <w:jc w:val="left"/>
            </w:pPr>
            <w:r>
              <w:t xml:space="preserve">2,750,000</w:t>
            </w:r>
          </w:p>
        </w:tc>
      </w:tr>
      <w:tr>
        <w:tc>
          <w:tcPr/>
          <w:p>
            <w:pPr>
              <w:pStyle w:val="Compact"/>
              <w:jc w:val="left"/>
            </w:pPr>
            <w:r>
              <w:t xml:space="preserve">08</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2,702,000</w:t>
            </w:r>
          </w:p>
        </w:tc>
      </w:tr>
      <w:tr>
        <w:tc>
          <w:tcPr>
            <w:gridSpan w:val="4"/>
          </w:tcPr>
          <w:p>
            <w:pPr>
              <w:pStyle w:val="Compact"/>
              <w:jc w:val="left"/>
            </w:pPr>
            <w:r>
              <w:rPr>
                <w:bCs/>
                <w:b/>
              </w:rPr>
              <w:t xml:space="preserve">TOTAL QUOTATION ESTIMATE (before tax)</w:t>
            </w:r>
          </w:p>
        </w:tc>
        <w:tc>
          <w:tcPr/>
          <w:p>
            <w:pPr>
              <w:pStyle w:val="Compact"/>
              <w:jc w:val="left"/>
            </w:pPr>
            <w:r>
              <w:rPr>
                <w:bCs/>
                <w:b/>
              </w:rPr>
              <w:t xml:space="preserve">29,622,000</w:t>
            </w:r>
          </w:p>
        </w:tc>
      </w:tr>
      <w:tr>
        <w:tc>
          <w:tcPr>
            <w:gridSpan w:val="4"/>
          </w:tcPr>
          <w:p>
            <w:pPr>
              <w:pStyle w:val="Compact"/>
              <w:jc w:val="left"/>
            </w:pPr>
            <w:r>
              <w:rPr>
                <w:bCs/>
                <w:b/>
              </w:rPr>
              <w:t xml:space="preserve">Consumption Tax (10%)</w:t>
            </w:r>
          </w:p>
        </w:tc>
        <w:tc>
          <w:tcPr/>
          <w:p>
            <w:pPr>
              <w:pStyle w:val="Compact"/>
              <w:jc w:val="left"/>
            </w:pPr>
            <w:r>
              <w:rPr>
                <w:bCs/>
                <w:b/>
              </w:rPr>
              <w:t xml:space="preserve">2,962,200</w:t>
            </w:r>
          </w:p>
        </w:tc>
      </w:tr>
      <w:tr>
        <w:tc>
          <w:tcPr>
            <w:gridSpan w:val="4"/>
          </w:tcPr>
          <w:p>
            <w:pPr>
              <w:pStyle w:val="Compact"/>
              <w:jc w:val="left"/>
            </w:pPr>
            <w:r>
              <w:rPr>
                <w:bCs/>
                <w:b/>
              </w:rPr>
              <w:t xml:space="preserve">GRAND TOTAL (JPY)</w:t>
            </w:r>
          </w:p>
        </w:tc>
        <w:tc>
          <w:tcPr/>
          <w:p>
            <w:pPr>
              <w:pStyle w:val="Compact"/>
              <w:jc w:val="left"/>
            </w:pPr>
            <w:r>
              <w:rPr>
                <w:bCs/>
                <w:b/>
              </w:rPr>
              <w:t xml:space="preserve">32,584,200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 all amounts denominated in Japanese Yen and payable to the bank account specified by Stellar Horizon Research &amp; Consulting Group in Japan Osaka:</w:t>
      </w:r>
    </w:p>
    <w:p>
      <w:pPr>
        <w:numPr>
          <w:ilvl w:val="0"/>
          <w:numId w:val="1002"/>
        </w:numPr>
        <w:pStyle w:val="Compact"/>
      </w:pPr>
      <w:r>
        <w:rPr>
          <w:bCs/>
          <w:b/>
        </w:rPr>
        <w:t xml:space="preserve">30% Advance Payment:</w:t>
      </w:r>
      <w:r>
        <w:t xml:space="preserve"> </w:t>
      </w:r>
      <w:r>
        <w:t xml:space="preserve">Due within 14 business days of acceptance of this Quotation Estimate (JPY 9,775,260).</w:t>
      </w:r>
    </w:p>
    <w:p>
      <w:pPr>
        <w:numPr>
          <w:ilvl w:val="0"/>
          <w:numId w:val="1002"/>
        </w:numPr>
        <w:pStyle w:val="Compact"/>
      </w:pPr>
      <w:r>
        <w:rPr>
          <w:bCs/>
          <w:b/>
        </w:rPr>
        <w:t xml:space="preserve">40% Mid-Project Payment:</w:t>
      </w:r>
      <w:r>
        <w:t xml:space="preserve"> </w:t>
      </w:r>
      <w:r>
        <w:t xml:space="preserve">Due upon completion of month six of the Astronomer's engagement (JPY 13,033,680).</w:t>
      </w:r>
    </w:p>
    <w:p>
      <w:pPr>
        <w:numPr>
          <w:ilvl w:val="0"/>
          <w:numId w:val="1002"/>
        </w:numPr>
        <w:pStyle w:val="Compact"/>
      </w:pPr>
      <w:r>
        <w:rPr>
          <w:bCs/>
          <w:b/>
        </w:rPr>
        <w:t xml:space="preserve">30% Final Payment:</w:t>
      </w:r>
      <w:r>
        <w:t xml:space="preserve"> </w:t>
      </w:r>
      <w:r>
        <w:t xml:space="preserve">Due within 30 days of project completion and submission of the final research report (JPY 9,775,260).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calendar days from the date of issue. Beyond this period, all rates and allocations are subject to revision.</w:t>
      </w:r>
    </w:p>
    <w:p>
      <w:pPr>
        <w:numPr>
          <w:ilvl w:val="0"/>
          <w:numId w:val="1003"/>
        </w:numPr>
        <w:pStyle w:val="Compact"/>
      </w:pPr>
      <w:r>
        <w:t xml:space="preserve">The Astronomer's engagement is contingent upon the successful completion of a background verification and institutional clearance process required by OMARI in Japan Osaka.</w:t>
      </w:r>
    </w:p>
    <w:p>
      <w:pPr>
        <w:numPr>
          <w:ilvl w:val="0"/>
          <w:numId w:val="1003"/>
        </w:numPr>
        <w:pStyle w:val="Compact"/>
      </w:pPr>
      <w:r>
        <w:t xml:space="preserve">All intellectual property generated by the Astronomer during the term of this engagement shall be jointly owned by Stellar Horizon Research &amp; Consulting Group and OMARI, as stipulated in the separate Intellectual Property Agreement.</w:t>
      </w:r>
    </w:p>
    <w:p>
      <w:pPr>
        <w:numPr>
          <w:ilvl w:val="0"/>
          <w:numId w:val="1003"/>
        </w:numPr>
        <w:pStyle w:val="Compact"/>
      </w:pPr>
      <w:r>
        <w:t xml:space="preserve">Telescope time allocations in Japan Osaka are subject to weather and equipment availability. In the event of cancellation due to force majeure, unused nights shall be rescheduled within the same fiscal year at no additional cost.</w:t>
      </w:r>
    </w:p>
    <w:p>
      <w:pPr>
        <w:numPr>
          <w:ilvl w:val="0"/>
          <w:numId w:val="1003"/>
        </w:numPr>
        <w:pStyle w:val="Compact"/>
      </w:pPr>
      <w:r>
        <w:t xml:space="preserve">Any scope changes exceeding 10% of the total Quotation Estimate value must be approved in writing by both parties before implementation.</w:t>
      </w:r>
    </w:p>
    <w:p>
      <w:pPr>
        <w:numPr>
          <w:ilvl w:val="0"/>
          <w:numId w:val="1003"/>
        </w:numPr>
        <w:pStyle w:val="Compact"/>
      </w:pPr>
      <w:r>
        <w:t xml:space="preserve">This Quotation Estimate does not constitute a binding contract until countersigned by both parties and the advance payment has been received.</w:t>
      </w:r>
    </w:p>
    <w:p>
      <w:pPr>
        <w:numPr>
          <w:ilvl w:val="0"/>
          <w:numId w:val="1003"/>
        </w:numPr>
        <w:pStyle w:val="Compact"/>
      </w:pPr>
      <w:r>
        <w:t xml:space="preserve">Governing law: The laws of Japan. Any disputes arising from this Quotation Estimate shall be resolved through arbitration in Japan Osaka under the rules of the Japan Commercial Arbitration Association.</w:t>
      </w:r>
    </w:p>
    <w:bookmarkEnd w:id="25"/>
    <w:bookmarkStart w:id="26" w:name="acceptance-and-authorisation"/>
    <w:p>
      <w:pPr>
        <w:pStyle w:val="Heading2"/>
      </w:pPr>
      <w:r>
        <w:t xml:space="preserve">6. Acceptance and Authorisation</w:t>
      </w:r>
    </w:p>
    <w:p>
      <w:pPr>
        <w:pStyle w:val="FirstParagraph"/>
      </w:pPr>
      <w:r>
        <w:t xml:space="preserve">By signing below, the undersigned parties confirm their acceptance of the terms, conditions, and financial obligations set forth in this Quotation Estimate for the Astronomer engagement in Japan Osaka.</w:t>
      </w:r>
    </w:p>
    <w:p>
      <w:pPr>
        <w:pStyle w:val="BodyText"/>
      </w:pPr>
      <w:r>
        <w:rPr>
          <w:bCs/>
          <w:b/>
        </w:rPr>
        <w:t xml:space="preserve">For Stellar Horizon Research &amp; Consulting Group</w:t>
      </w:r>
      <w:r>
        <w:br/>
      </w:r>
      <w:r>
        <w:br/>
      </w:r>
      <w:r>
        <w:t xml:space="preserve">Name: ______________________________</w:t>
      </w:r>
      <w:r>
        <w:br/>
      </w:r>
      <w:r>
        <w:t xml:space="preserve">Title: Director of Business Development</w:t>
      </w:r>
      <w:r>
        <w:br/>
      </w:r>
      <w:r>
        <w:t xml:space="preserve">Signature: ______________________________</w:t>
      </w:r>
      <w:r>
        <w:br/>
      </w:r>
      <w:r>
        <w:t xml:space="preserve">Date: ______________________________</w:t>
      </w:r>
    </w:p>
    <w:p>
      <w:pPr>
        <w:pStyle w:val="BodyText"/>
      </w:pPr>
      <w:r>
        <w:rPr>
          <w:bCs/>
          <w:b/>
        </w:rPr>
        <w:t xml:space="preserve">For Osaka Metropolitan Astronomical Research Institute (OMARI)</w:t>
      </w:r>
      <w:r>
        <w:br/>
      </w:r>
      <w:r>
        <w:br/>
      </w:r>
      <w:r>
        <w:t xml:space="preserve">Name: ______________________________</w:t>
      </w:r>
      <w:r>
        <w:br/>
      </w:r>
      <w:r>
        <w:t xml:space="preserve">Title: Director of Research Operations</w:t>
      </w:r>
      <w:r>
        <w:br/>
      </w:r>
      <w:r>
        <w:t xml:space="preserve">Signature: ______________________________</w:t>
      </w:r>
      <w:r>
        <w:br/>
      </w:r>
      <w:r>
        <w:t xml:space="preserve">Date: ______________________________</w:t>
      </w:r>
    </w:p>
    <w:p>
      <w:pPr>
        <w:pStyle w:val="BodyText"/>
      </w:pPr>
      <w:r>
        <w:t xml:space="preserve">Stellar Horizon Research &amp; Consulting Group | 42-15 Tennoji, Chuo-ku, Osaka 541-0053, Japan Osaka</w:t>
      </w:r>
    </w:p>
    <w:p>
      <w:pPr>
        <w:pStyle w:val="BodyText"/>
      </w:pPr>
      <w:r>
        <w:t xml:space="preserve">This Quotation Estimate (No. QTE-2025-OSK-00847) is the property of Stellar Horizon Research &amp; Consulting Group and is intended solely for the use of the named client. Unauthorised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Japan Osaka</dc:title>
  <dc:creator/>
  <dc:language>en</dc:language>
  <cp:keywords/>
  <dcterms:created xsi:type="dcterms:W3CDTF">2026-10-10T05:47:36Z</dcterms:created>
  <dcterms:modified xsi:type="dcterms:W3CDTF">2026-10-10T05:47:36Z</dcterms:modified>
</cp:coreProperties>
</file>

<file path=docProps/custom.xml><?xml version="1.0" encoding="utf-8"?>
<Properties xmlns="http://schemas.openxmlformats.org/officeDocument/2006/custom-properties" xmlns:vt="http://schemas.openxmlformats.org/officeDocument/2006/docPropsVTypes"/>
</file>