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Astronomer Consulting &amp; Advisory Services</w:t>
      </w:r>
    </w:p>
    <w:p>
      <w:pPr>
        <w:pStyle w:val="BodyText"/>
      </w:pPr>
      <w:r>
        <w:t xml:space="preserve">Kingdom of Saudi Arabia — Riyadh</w:t>
      </w:r>
    </w:p>
    <w:p>
      <w:pPr>
        <w:pStyle w:val="BodyText"/>
      </w:pPr>
      <w:r>
        <w:t xml:space="preserve">Ref: QE-AST-2025-0472 | Valid Until: 30 June 2025</w:t>
      </w:r>
    </w:p>
    <w:bookmarkEnd w:id="20"/>
    <w:p>
      <w:pPr>
        <w:pStyle w:val="BodyText"/>
      </w:pPr>
      <w:r>
        <w:rPr>
          <w:bCs/>
          <w:b/>
        </w:rPr>
        <w:t xml:space="preserve">Prepared By:</w:t>
      </w:r>
      <w:r>
        <w:br/>
      </w:r>
      <w:r>
        <w:t xml:space="preserve">Dr. Khalid Al-Rashid, Ph.D. (Astronomy &amp; Astrophysics)</w:t>
      </w:r>
      <w:r>
        <w:br/>
      </w:r>
      <w:r>
        <w:t xml:space="preserve">Stellar Horizon Consulting LLC</w:t>
      </w:r>
      <w:r>
        <w:br/>
      </w:r>
      <w:r>
        <w:t xml:space="preserve">King Fahd Road, Al Olaya District</w:t>
      </w:r>
      <w:r>
        <w:br/>
      </w:r>
      <w:r>
        <w:t xml:space="preserve">Riyadh 12211, Saudi Arabia</w:t>
      </w:r>
      <w:r>
        <w:br/>
      </w:r>
      <w:r>
        <w:t xml:space="preserve">Tel: +966 11 456 7890</w:t>
      </w:r>
      <w:r>
        <w:br/>
      </w:r>
      <w:r>
        <w:t xml:space="preserve">Email: quotations@stellarhorizon.sa</w:t>
      </w:r>
    </w:p>
    <w:p>
      <w:pPr>
        <w:pStyle w:val="BodyText"/>
      </w:pPr>
      <w:r>
        <w:rPr>
          <w:bCs/>
          <w:b/>
        </w:rPr>
        <w:t xml:space="preserve">Prepared For:</w:t>
      </w:r>
      <w:r>
        <w:br/>
      </w:r>
      <w:r>
        <w:t xml:space="preserve">Saudi Space Agency (SSA)</w:t>
      </w:r>
      <w:r>
        <w:br/>
      </w:r>
      <w:r>
        <w:t xml:space="preserve">Ministry of Communications &amp; IT</w:t>
      </w:r>
      <w:r>
        <w:br/>
      </w:r>
      <w:r>
        <w:t xml:space="preserve">Riyadh, Saudi Arabia</w:t>
      </w:r>
      <w:r>
        <w:br/>
      </w:r>
      <w:r>
        <w:t xml:space="preserve">Attn: Dr. Sarah Al-Mutairi</w:t>
      </w:r>
      <w:r>
        <w:br/>
      </w:r>
      <w:r>
        <w:t xml:space="preserve">Director of Research &amp; Development</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Stellar Horizon Consulting LLC to provide a comprehensive, itemized financial proposal for the engagement of a senior</w:t>
      </w:r>
      <w:r>
        <w:t xml:space="preserve"> </w:t>
      </w:r>
      <w:r>
        <w:t xml:space="preserve">Astronomer</w:t>
      </w:r>
      <w:r>
        <w:t xml:space="preserve"> </w:t>
      </w:r>
      <w:r>
        <w:t xml:space="preserve">to deliver specialized consulting, research oversight, and technical advisory services within the Kingdom of</w:t>
      </w:r>
      <w:r>
        <w:t xml:space="preserve"> </w:t>
      </w:r>
      <w:r>
        <w:t xml:space="preserve">Saudi Arabia</w:t>
      </w:r>
      <w:r>
        <w:t xml:space="preserve">, specifically based in the capital city of</w:t>
      </w:r>
      <w:r>
        <w:t xml:space="preserve"> </w:t>
      </w:r>
      <w:r>
        <w:t xml:space="preserve">Riyadh</w:t>
      </w:r>
      <w:r>
        <w:t xml:space="preserve">. This document outlines the full scope of work, deliverables, associated costs, payment schedule, and contractual terms governing the professional engagement. All pricing is presented in Saudi Riyals (SAR) and is subject to the validity period stated above.</w:t>
      </w:r>
    </w:p>
    <w:bookmarkEnd w:id="21"/>
    <w:bookmarkStart w:id="22" w:name="scope-of-work-services"/>
    <w:p>
      <w:pPr>
        <w:pStyle w:val="Heading2"/>
      </w:pPr>
      <w:r>
        <w:t xml:space="preserve">2. Scope of Work &amp; Services</w:t>
      </w:r>
    </w:p>
    <w:p>
      <w:pPr>
        <w:pStyle w:val="FirstParagraph"/>
      </w:pPr>
      <w:r>
        <w:t xml:space="preserve">The</w:t>
      </w:r>
      <w:r>
        <w:t xml:space="preserve"> </w:t>
      </w:r>
      <w:r>
        <w:t xml:space="preserve">Astronomer</w:t>
      </w:r>
      <w:r>
        <w:t xml:space="preserve"> </w:t>
      </w:r>
      <w:r>
        <w:t xml:space="preserve">engaged under this</w:t>
      </w:r>
      <w:r>
        <w:t xml:space="preserve"> </w:t>
      </w:r>
      <w:r>
        <w:t xml:space="preserve">Quotation Estimate</w:t>
      </w:r>
      <w:r>
        <w:t xml:space="preserve"> </w:t>
      </w:r>
      <w:r>
        <w:t xml:space="preserve">shall provide the following services to support the client's strategic objectives in the field of space science, atmospheric research, and astronomical instrumentation, all conducted from the primary office location in</w:t>
      </w:r>
      <w:r>
        <w:t xml:space="preserve"> </w:t>
      </w:r>
      <w:r>
        <w:t xml:space="preserve">Riyadh, Saudi Arabia</w:t>
      </w:r>
      <w:r>
        <w:t xml:space="preserve">:</w:t>
      </w:r>
    </w:p>
    <w:p>
      <w:pPr>
        <w:numPr>
          <w:ilvl w:val="0"/>
          <w:numId w:val="1001"/>
        </w:numPr>
        <w:pStyle w:val="Compact"/>
      </w:pPr>
      <w:r>
        <w:rPr>
          <w:bCs/>
          <w:b/>
        </w:rPr>
        <w:t xml:space="preserve">Astronomical Survey &amp; Data Analysis:</w:t>
      </w:r>
      <w:r>
        <w:t xml:space="preserve"> </w:t>
      </w:r>
      <w:r>
        <w:t xml:space="preserve">Conducting comprehensive optical and radio astronomical surveys of the night sky over the Riyadh metropolitan area and surrounding desert regions. This includes cataloguing celestial objects, monitoring variable stars, and producing detailed photometric and spectroscopic reports. The</w:t>
      </w:r>
      <w:r>
        <w:t xml:space="preserve"> </w:t>
      </w:r>
      <w:r>
        <w:t xml:space="preserve">Astronomer</w:t>
      </w:r>
      <w:r>
        <w:t xml:space="preserve"> </w:t>
      </w:r>
      <w:r>
        <w:t xml:space="preserve">will utilize the existing 1.2-meter telescope facility located at the King Abdulaziz City for Science and Technology (KACST) campus in Riyadh.</w:t>
      </w:r>
    </w:p>
    <w:p>
      <w:pPr>
        <w:numPr>
          <w:ilvl w:val="0"/>
          <w:numId w:val="1001"/>
        </w:numPr>
        <w:pStyle w:val="Compact"/>
      </w:pPr>
      <w:r>
        <w:rPr>
          <w:bCs/>
          <w:b/>
        </w:rPr>
        <w:t xml:space="preserve">Atmospheric &amp; Climate Research Advisory:</w:t>
      </w:r>
      <w:r>
        <w:t xml:space="preserve"> </w:t>
      </w:r>
      <w:r>
        <w:t xml:space="preserve">Providing expert consultation on atmospheric optics, light pollution mapping, and the impact of desert dust events on astronomical observations. The</w:t>
      </w:r>
      <w:r>
        <w:t xml:space="preserve"> </w:t>
      </w:r>
      <w:r>
        <w:t xml:space="preserve">Astronomer</w:t>
      </w:r>
      <w:r>
        <w:t xml:space="preserve"> </w:t>
      </w:r>
      <w:r>
        <w:t xml:space="preserve">will produce quarterly advisory reports tailored to the specific environmental conditions of</w:t>
      </w:r>
      <w:r>
        <w:t xml:space="preserve"> </w:t>
      </w:r>
      <w:r>
        <w:t xml:space="preserve">Saudi Arabia</w:t>
      </w:r>
      <w:r>
        <w:t xml:space="preserve">, including seasonal sandstorm frequency analysis and its effect on observation windows.</w:t>
      </w:r>
    </w:p>
    <w:p>
      <w:pPr>
        <w:numPr>
          <w:ilvl w:val="0"/>
          <w:numId w:val="1001"/>
        </w:numPr>
        <w:pStyle w:val="Compact"/>
      </w:pPr>
      <w:r>
        <w:rPr>
          <w:bCs/>
          <w:b/>
        </w:rPr>
        <w:t xml:space="preserve">Instrumentation Design &amp; Calibration:</w:t>
      </w:r>
      <w:r>
        <w:t xml:space="preserve"> </w:t>
      </w:r>
      <w:r>
        <w:t xml:space="preserve">Designing, specifying, and overseeing the calibration of new astronomical instruments to be installed at the Riyadh observatory site. This includes optical alignment, detector sensitivity testing, and software integration for automated data acquisition systems.</w:t>
      </w:r>
    </w:p>
    <w:p>
      <w:pPr>
        <w:numPr>
          <w:ilvl w:val="0"/>
          <w:numId w:val="1001"/>
        </w:numPr>
        <w:pStyle w:val="Compact"/>
      </w:pPr>
      <w:r>
        <w:rPr>
          <w:bCs/>
          <w:b/>
        </w:rPr>
        <w:t xml:space="preserve">Academic &amp; Public Outreach Programs:</w:t>
      </w:r>
      <w:r>
        <w:t xml:space="preserve"> </w:t>
      </w:r>
      <w:r>
        <w:t xml:space="preserve">Developing and delivering educational workshops, public lectures, and school outreach programs in Riyadh to promote astronomical literacy among Saudi students and the general public. The</w:t>
      </w:r>
      <w:r>
        <w:t xml:space="preserve"> </w:t>
      </w:r>
      <w:r>
        <w:t xml:space="preserve">Astronomer</w:t>
      </w:r>
      <w:r>
        <w:t xml:space="preserve"> </w:t>
      </w:r>
      <w:r>
        <w:t xml:space="preserve">will coordinate with the Ministry of Education and local universities in Riyadh to schedule these events.</w:t>
      </w:r>
    </w:p>
    <w:p>
      <w:pPr>
        <w:numPr>
          <w:ilvl w:val="0"/>
          <w:numId w:val="1001"/>
        </w:numPr>
        <w:pStyle w:val="Compact"/>
      </w:pPr>
      <w:r>
        <w:rPr>
          <w:bCs/>
          <w:b/>
        </w:rPr>
        <w:t xml:space="preserve">Strategic Research Planning:</w:t>
      </w:r>
      <w:r>
        <w:t xml:space="preserve"> </w:t>
      </w:r>
      <w:r>
        <w:t xml:space="preserve">Assisting the client in formulating a five-year research roadmap for the development of Saudi Arabia's national astronomy program, including recommendations for new observatory sites, international collaboration partnerships, and funding allocation strategies.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Rate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Senior Astronomer Consulting Fee (full-time engagement in Riyadh)</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Astronomical Survey &amp; Data Analysis (fieldwork + lab analysis)</w:t>
            </w:r>
          </w:p>
        </w:tc>
        <w:tc>
          <w:tcPr/>
          <w:p>
            <w:pPr>
              <w:pStyle w:val="Compact"/>
              <w:jc w:val="left"/>
            </w:pPr>
            <w:r>
              <w:t xml:space="preserve">48 observation nights</w:t>
            </w:r>
          </w:p>
        </w:tc>
        <w:tc>
          <w:tcPr/>
          <w:p>
            <w:pPr>
              <w:pStyle w:val="Compact"/>
              <w:jc w:val="left"/>
            </w:pPr>
            <w:r>
              <w:t xml:space="preserve">3,200 / night</w:t>
            </w:r>
          </w:p>
        </w:tc>
        <w:tc>
          <w:tcPr/>
          <w:p>
            <w:pPr>
              <w:pStyle w:val="Compact"/>
              <w:jc w:val="left"/>
            </w:pPr>
            <w:r>
              <w:t xml:space="preserve">153,600</w:t>
            </w:r>
          </w:p>
        </w:tc>
      </w:tr>
      <w:tr>
        <w:tc>
          <w:tcPr/>
          <w:p>
            <w:pPr>
              <w:pStyle w:val="Compact"/>
              <w:jc w:val="left"/>
            </w:pPr>
            <w:r>
              <w:t xml:space="preserve">03</w:t>
            </w:r>
          </w:p>
        </w:tc>
        <w:tc>
          <w:tcPr/>
          <w:p>
            <w:pPr>
              <w:pStyle w:val="Compact"/>
              <w:jc w:val="left"/>
            </w:pPr>
            <w:r>
              <w:t xml:space="preserve">Atmospheric &amp; Climate Advisory Reports (quarterly)</w:t>
            </w:r>
          </w:p>
        </w:tc>
        <w:tc>
          <w:tcPr/>
          <w:p>
            <w:pPr>
              <w:pStyle w:val="Compact"/>
              <w:jc w:val="left"/>
            </w:pPr>
            <w:r>
              <w:t xml:space="preserve">4 reports</w:t>
            </w:r>
          </w:p>
        </w:tc>
        <w:tc>
          <w:tcPr/>
          <w:p>
            <w:pPr>
              <w:pStyle w:val="Compact"/>
              <w:jc w:val="left"/>
            </w:pPr>
            <w:r>
              <w:t xml:space="preserve">12,500 / report</w:t>
            </w:r>
          </w:p>
        </w:tc>
        <w:tc>
          <w:tcPr/>
          <w:p>
            <w:pPr>
              <w:pStyle w:val="Compact"/>
              <w:jc w:val="left"/>
            </w:pPr>
            <w:r>
              <w:t xml:space="preserve">50,000</w:t>
            </w:r>
          </w:p>
        </w:tc>
      </w:tr>
      <w:tr>
        <w:tc>
          <w:tcPr/>
          <w:p>
            <w:pPr>
              <w:pStyle w:val="Compact"/>
              <w:jc w:val="left"/>
            </w:pPr>
            <w:r>
              <w:t xml:space="preserve">04</w:t>
            </w:r>
          </w:p>
        </w:tc>
        <w:tc>
          <w:tcPr/>
          <w:p>
            <w:pPr>
              <w:pStyle w:val="Compact"/>
              <w:jc w:val="left"/>
            </w:pPr>
            <w:r>
              <w:t xml:space="preserve">Instrumentation Design, Calibration &amp; Software Integration</w:t>
            </w:r>
          </w:p>
        </w:tc>
        <w:tc>
          <w:tcPr/>
          <w:p>
            <w:pPr>
              <w:pStyle w:val="Compact"/>
              <w:jc w:val="left"/>
            </w:pPr>
            <w:r>
              <w:t xml:space="preserve">1 project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05</w:t>
            </w:r>
          </w:p>
        </w:tc>
        <w:tc>
          <w:tcPr/>
          <w:p>
            <w:pPr>
              <w:pStyle w:val="Compact"/>
              <w:jc w:val="left"/>
            </w:pPr>
            <w:r>
              <w:t xml:space="preserve">Academic &amp; Public Outreach Programs (workshops, lectures, school visits)</w:t>
            </w:r>
          </w:p>
        </w:tc>
        <w:tc>
          <w:tcPr/>
          <w:p>
            <w:pPr>
              <w:pStyle w:val="Compact"/>
              <w:jc w:val="left"/>
            </w:pPr>
            <w:r>
              <w:t xml:space="preserve">24 sessions</w:t>
            </w:r>
          </w:p>
        </w:tc>
        <w:tc>
          <w:tcPr/>
          <w:p>
            <w:pPr>
              <w:pStyle w:val="Compact"/>
              <w:jc w:val="left"/>
            </w:pPr>
            <w:r>
              <w:t xml:space="preserve">4,500 / session</w:t>
            </w:r>
          </w:p>
        </w:tc>
        <w:tc>
          <w:tcPr/>
          <w:p>
            <w:pPr>
              <w:pStyle w:val="Compact"/>
              <w:jc w:val="left"/>
            </w:pPr>
            <w:r>
              <w:t xml:space="preserve">108,000</w:t>
            </w:r>
          </w:p>
        </w:tc>
      </w:tr>
      <w:tr>
        <w:tc>
          <w:tcPr/>
          <w:p>
            <w:pPr>
              <w:pStyle w:val="Compact"/>
              <w:jc w:val="left"/>
            </w:pPr>
            <w:r>
              <w:t xml:space="preserve">06</w:t>
            </w:r>
          </w:p>
        </w:tc>
        <w:tc>
          <w:tcPr/>
          <w:p>
            <w:pPr>
              <w:pStyle w:val="Compact"/>
              <w:jc w:val="left"/>
            </w:pPr>
            <w:r>
              <w:t xml:space="preserve">Strategic Five-Year Research Roadmap Development</w:t>
            </w:r>
          </w:p>
        </w:tc>
        <w:tc>
          <w:tcPr/>
          <w:p>
            <w:pPr>
              <w:pStyle w:val="Compact"/>
              <w:jc w:val="left"/>
            </w:pPr>
            <w:r>
              <w:t xml:space="preserve">1 deliverable</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07</w:t>
            </w:r>
          </w:p>
        </w:tc>
        <w:tc>
          <w:tcPr/>
          <w:p>
            <w:pPr>
              <w:pStyle w:val="Compact"/>
              <w:jc w:val="left"/>
            </w:pPr>
            <w:r>
              <w:t xml:space="preserve">Travel &amp; Local Transportation within Riyadh &amp; Saudi Arabia</w:t>
            </w:r>
          </w:p>
        </w:tc>
        <w:tc>
          <w:tcPr/>
          <w:p>
            <w:pPr>
              <w:pStyle w:val="Compact"/>
              <w:jc w:val="left"/>
            </w:pPr>
            <w:r>
              <w:t xml:space="preserve">12 months</w:t>
            </w:r>
          </w:p>
        </w:tc>
        <w:tc>
          <w:tcPr/>
          <w:p>
            <w:pPr>
              <w:pStyle w:val="Compact"/>
              <w:jc w:val="left"/>
            </w:pPr>
            <w:r>
              <w:t xml:space="preserve">8,500 / month</w:t>
            </w:r>
          </w:p>
        </w:tc>
        <w:tc>
          <w:tcPr/>
          <w:p>
            <w:pPr>
              <w:pStyle w:val="Compact"/>
              <w:jc w:val="left"/>
            </w:pPr>
            <w:r>
              <w:t xml:space="preserve">102,000</w:t>
            </w:r>
          </w:p>
        </w:tc>
      </w:tr>
      <w:tr>
        <w:tc>
          <w:tcPr/>
          <w:p>
            <w:pPr>
              <w:pStyle w:val="Compact"/>
              <w:jc w:val="left"/>
            </w:pPr>
            <w:r>
              <w:t xml:space="preserve">08</w:t>
            </w:r>
          </w:p>
        </w:tc>
        <w:tc>
          <w:tcPr/>
          <w:p>
            <w:pPr>
              <w:pStyle w:val="Compact"/>
              <w:jc w:val="left"/>
            </w:pPr>
            <w:r>
              <w:t xml:space="preserve">Administrative &amp; Overhead Costs (office, insurance, licensing in Saudi Arabia)</w:t>
            </w:r>
          </w:p>
        </w:tc>
        <w:tc>
          <w:tcPr/>
          <w:p>
            <w:pPr>
              <w:pStyle w:val="Compact"/>
              <w:jc w:val="left"/>
            </w:pPr>
            <w:r>
              <w:t xml:space="preserve">12 months</w:t>
            </w:r>
          </w:p>
        </w:tc>
        <w:tc>
          <w:tcPr/>
          <w:p>
            <w:pPr>
              <w:pStyle w:val="Compact"/>
              <w:jc w:val="left"/>
            </w:pPr>
            <w:r>
              <w:t xml:space="preserve">6,000 / month</w:t>
            </w:r>
          </w:p>
        </w:tc>
        <w:tc>
          <w:tcPr/>
          <w:p>
            <w:pPr>
              <w:pStyle w:val="Compact"/>
              <w:jc w:val="left"/>
            </w:pPr>
            <w:r>
              <w:t xml:space="preserve">72,000</w:t>
            </w:r>
          </w:p>
        </w:tc>
      </w:tr>
      <w:tr>
        <w:tc>
          <w:tcPr>
            <w:gridSpan w:val="4"/>
          </w:tcPr>
          <w:p>
            <w:pPr>
              <w:pStyle w:val="Compact"/>
              <w:jc w:val="right"/>
            </w:pPr>
            <w:r>
              <w:t xml:space="preserve">Subtotal</w:t>
            </w:r>
          </w:p>
        </w:tc>
        <w:tc>
          <w:tcPr/>
          <w:p>
            <w:pPr>
              <w:pStyle w:val="Compact"/>
              <w:jc w:val="left"/>
            </w:pPr>
            <w:r>
              <w:t xml:space="preserve">1,305,600</w:t>
            </w:r>
          </w:p>
        </w:tc>
      </w:tr>
      <w:tr>
        <w:tc>
          <w:tcPr>
            <w:gridSpan w:val="4"/>
          </w:tcPr>
          <w:p>
            <w:pPr>
              <w:pStyle w:val="Compact"/>
              <w:jc w:val="right"/>
            </w:pPr>
            <w:r>
              <w:t xml:space="preserve">VAT (15% — Kingdom of Saudi Arabia)</w:t>
            </w:r>
          </w:p>
        </w:tc>
        <w:tc>
          <w:tcPr/>
          <w:p>
            <w:pPr>
              <w:pStyle w:val="Compact"/>
              <w:jc w:val="left"/>
            </w:pPr>
            <w:r>
              <w:t xml:space="preserve">195,840</w:t>
            </w:r>
          </w:p>
        </w:tc>
      </w:tr>
      <w:tr>
        <w:tc>
          <w:tcPr>
            <w:gridSpan w:val="4"/>
          </w:tcPr>
          <w:p>
            <w:pPr>
              <w:pStyle w:val="Compact"/>
              <w:jc w:val="right"/>
            </w:pPr>
            <w:r>
              <w:rPr>
                <w:bCs/>
                <w:b/>
              </w:rPr>
              <w:t xml:space="preserve">Grand Total (SAR)</w:t>
            </w:r>
          </w:p>
        </w:tc>
        <w:tc>
          <w:tcPr/>
          <w:p>
            <w:pPr>
              <w:pStyle w:val="Compact"/>
              <w:jc w:val="left"/>
            </w:pPr>
            <w:r>
              <w:rPr>
                <w:bCs/>
                <w:b/>
              </w:rPr>
              <w:t xml:space="preserve">1,501,440</w:t>
            </w:r>
          </w:p>
        </w:tc>
      </w:tr>
    </w:tbl>
    <w:bookmarkEnd w:id="23"/>
    <w:bookmarkStart w:id="24" w:name="payment-schedule"/>
    <w:p>
      <w:pPr>
        <w:pStyle w:val="Heading2"/>
      </w:pPr>
      <w:r>
        <w:t xml:space="preserve">4. Payment Schedule</w:t>
      </w:r>
    </w:p>
    <w:p>
      <w:pPr>
        <w:pStyle w:val="FirstParagraph"/>
      </w:pPr>
      <w:r>
        <w:t xml:space="preserve">Payment for the services outlined in this</w:t>
      </w:r>
      <w:r>
        <w:t xml:space="preserve"> </w:t>
      </w:r>
      <w:r>
        <w:t xml:space="preserve">Quotation Estimate</w:t>
      </w:r>
      <w:r>
        <w:t xml:space="preserve"> </w:t>
      </w:r>
      <w:r>
        <w:t xml:space="preserve">shall be made in four equal quarterly installments, due within thirty (30) calendar days of the invoice date. The first installment is due upon the formal acceptance and signing of this quotation by the client in Riyadh. All payments shall be made via bank transfer to the account of Stellar Horizon Consulting LLC, held with a licensed commercial bank in</w:t>
      </w:r>
      <w:r>
        <w:t xml:space="preserve"> </w:t>
      </w:r>
      <w:r>
        <w:t xml:space="preserve">Saudi Arabia</w:t>
      </w:r>
      <w:r>
        <w:t xml:space="preserve">. Late payments shall incur a penalty of 1.5% per month on the outstanding balance, in accordance with the commercial regulations of the Kingdom of</w:t>
      </w:r>
      <w:r>
        <w:t xml:space="preserve"> </w:t>
      </w:r>
      <w:r>
        <w:t xml:space="preserve">Saudi Arabia</w:t>
      </w:r>
      <w:r>
        <w:t xml:space="preserve">.</w:t>
      </w:r>
    </w:p>
    <w:bookmarkEnd w:id="24"/>
    <w:bookmarkStart w:id="25" w:name="terms-conditions"/>
    <w:p>
      <w:pPr>
        <w:pStyle w:val="Heading2"/>
      </w:pPr>
      <w:r>
        <w:t xml:space="preserve">5. Terms &amp; Conditions</w:t>
      </w:r>
    </w:p>
    <w:p>
      <w:pPr>
        <w:numPr>
          <w:ilvl w:val="0"/>
          <w:numId w:val="1002"/>
        </w:numPr>
        <w:pStyle w:val="Compact"/>
      </w:pPr>
      <w:r>
        <w:t xml:space="preserve">This</w:t>
      </w:r>
      <w:r>
        <w:t xml:space="preserve"> </w:t>
      </w:r>
      <w:r>
        <w:t xml:space="preserve">Quotation Estimate</w:t>
      </w:r>
      <w:r>
        <w:t xml:space="preserve"> </w:t>
      </w:r>
      <w:r>
        <w:t xml:space="preserve">is valid for a period of sixty (60) days from the date of issue. After this period, all rates and terms are subject to revision.</w:t>
      </w:r>
    </w:p>
    <w:p>
      <w:pPr>
        <w:numPr>
          <w:ilvl w:val="0"/>
          <w:numId w:val="1002"/>
        </w:numPr>
        <w:pStyle w:val="Compact"/>
      </w:pPr>
      <w:r>
        <w:t xml:space="preserve">The</w:t>
      </w:r>
      <w:r>
        <w:t xml:space="preserve"> </w:t>
      </w:r>
      <w:r>
        <w:t xml:space="preserve">Astronomer</w:t>
      </w:r>
      <w:r>
        <w:t xml:space="preserve"> </w:t>
      </w:r>
      <w:r>
        <w:t xml:space="preserve">shall maintain full professional liability insurance and shall comply with all applicable laws, regulations, and licensing requirements of the Kingdom of</w:t>
      </w:r>
      <w:r>
        <w:t xml:space="preserve"> </w:t>
      </w:r>
      <w:r>
        <w:t xml:space="preserve">Saudi Arabia</w:t>
      </w:r>
      <w:r>
        <w:t xml:space="preserve">, including those issued by the Saudi Space Agency and the National Center for Artificial Intelligence.</w:t>
      </w:r>
    </w:p>
    <w:p>
      <w:pPr>
        <w:numPr>
          <w:ilvl w:val="0"/>
          <w:numId w:val="1002"/>
        </w:numPr>
        <w:pStyle w:val="Compact"/>
      </w:pPr>
      <w:r>
        <w:t xml:space="preserve">All data, reports, and intellectual property produced under this engagement shall be the sole property of the client, unless otherwise agreed in writing. The</w:t>
      </w:r>
      <w:r>
        <w:t xml:space="preserve"> </w:t>
      </w:r>
      <w:r>
        <w:t xml:space="preserve">Astronomer</w:t>
      </w:r>
      <w:r>
        <w:t xml:space="preserve"> </w:t>
      </w:r>
      <w:r>
        <w:t xml:space="preserve">shall sign a non-disclosure agreement (NDA) prior to commencing work in Riyadh.</w:t>
      </w:r>
    </w:p>
    <w:p>
      <w:pPr>
        <w:numPr>
          <w:ilvl w:val="0"/>
          <w:numId w:val="1002"/>
        </w:numPr>
        <w:pStyle w:val="Compact"/>
      </w:pPr>
      <w:r>
        <w:t xml:space="preserve">The client agrees to provide the</w:t>
      </w:r>
      <w:r>
        <w:t xml:space="preserve"> </w:t>
      </w:r>
      <w:r>
        <w:t xml:space="preserve">Astronomer</w:t>
      </w:r>
      <w:r>
        <w:t xml:space="preserve"> </w:t>
      </w:r>
      <w:r>
        <w:t xml:space="preserve">with reasonable access to all relevant facilities, equipment, and personnel in Riyadh necessary to perform the services described herein.</w:t>
      </w:r>
    </w:p>
    <w:p>
      <w:pPr>
        <w:numPr>
          <w:ilvl w:val="0"/>
          <w:numId w:val="1002"/>
        </w:numPr>
        <w:pStyle w:val="Compact"/>
      </w:pPr>
      <w:r>
        <w:t xml:space="preserve">Any changes to the scope of work must be documented in a formal change order, signed by both parties, and may result in an adjustment to the total cost of this</w:t>
      </w:r>
      <w:r>
        <w:t xml:space="preserve"> </w:t>
      </w:r>
      <w:r>
        <w:t xml:space="preserve">Quotation Estimate</w:t>
      </w:r>
      <w:r>
        <w:t xml:space="preserve">.</w:t>
      </w:r>
    </w:p>
    <w:p>
      <w:pPr>
        <w:numPr>
          <w:ilvl w:val="0"/>
          <w:numId w:val="1002"/>
        </w:numPr>
        <w:pStyle w:val="Compact"/>
      </w:pPr>
      <w:r>
        <w:t xml:space="preserve">This engagement is governed by the laws of the Kingdom of</w:t>
      </w:r>
      <w:r>
        <w:t xml:space="preserve"> </w:t>
      </w:r>
      <w:r>
        <w:t xml:space="preserve">Saudi Arabia</w:t>
      </w:r>
      <w:r>
        <w:t xml:space="preserve">. Any disputes arising from this agreement shall be resolved through arbitration in Riyadh in accordance with the rules of the Saudi Center for Commercial Arbitration.</w:t>
      </w:r>
    </w:p>
    <w:p>
      <w:pPr>
        <w:numPr>
          <w:ilvl w:val="0"/>
          <w:numId w:val="1002"/>
        </w:numPr>
        <w:pStyle w:val="Compact"/>
      </w:pPr>
      <w:r>
        <w:t xml:space="preserve">The</w:t>
      </w:r>
      <w:r>
        <w:t xml:space="preserve"> </w:t>
      </w:r>
      <w:r>
        <w:t xml:space="preserve">Astronomer</w:t>
      </w:r>
      <w:r>
        <w:t xml:space="preserve"> </w:t>
      </w:r>
      <w:r>
        <w:t xml:space="preserve">reserves the right to subcontract specialized sub-tasks (e.g., software development, hardware procurement) with prior written approval from the client.</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Astronomer</w:t>
      </w:r>
      <w:r>
        <w:t xml:space="preserve"> </w:t>
      </w:r>
      <w:r>
        <w:t xml:space="preserve">in</w:t>
      </w:r>
      <w:r>
        <w:t xml:space="preserve"> </w:t>
      </w:r>
      <w:r>
        <w:t xml:space="preserve">Riyadh, Saudi Arabia</w:t>
      </w:r>
      <w:r>
        <w:t xml:space="preserve">. This document, once countersigned by both parties, constitutes a binding service agreement.</w:t>
      </w:r>
    </w:p>
    <w:p>
      <w:pPr>
        <w:pStyle w:val="BodyText"/>
      </w:pPr>
      <w:r>
        <w:rPr>
          <w:bCs/>
          <w:b/>
        </w:rPr>
        <w:t xml:space="preserve">For Stellar Horizon Consulting LLC</w:t>
      </w:r>
      <w:r>
        <w:br/>
      </w:r>
      <w:r>
        <w:t xml:space="preserve">Dr. Khalid Al-Rashid, Ph.D.</w:t>
      </w:r>
      <w:r>
        <w:br/>
      </w:r>
      <w:r>
        <w:t xml:space="preserve">Lead Astronomer &amp; Principal Consultant</w:t>
      </w:r>
      <w:r>
        <w:br/>
      </w:r>
      <w:r>
        <w:t xml:space="preserve">Date: _______________</w:t>
      </w:r>
    </w:p>
    <w:p>
      <w:pPr>
        <w:pStyle w:val="BodyText"/>
      </w:pPr>
      <w:r>
        <w:rPr>
          <w:bCs/>
          <w:b/>
        </w:rPr>
        <w:t xml:space="preserve">For the Client (Saudi Space Agency)</w:t>
      </w:r>
      <w:r>
        <w:br/>
      </w:r>
      <w:r>
        <w:t xml:space="preserve">Dr. Sarah Al-Mutairi</w:t>
      </w:r>
      <w:r>
        <w:br/>
      </w:r>
      <w:r>
        <w:t xml:space="preserve">Director of Research &amp; Development</w:t>
      </w:r>
      <w:r>
        <w:br/>
      </w:r>
      <w:r>
        <w:t xml:space="preserve">Date: _______________</w:t>
      </w:r>
    </w:p>
    <w:p>
      <w:pPr>
        <w:pStyle w:val="BodyText"/>
      </w:pPr>
      <w:r>
        <w:t xml:space="preserve">Stellar Horizon Consulting LLC — CR No. 1010XXXXXX — Riyadh, Kingdom of Saudi Arabia</w:t>
      </w:r>
    </w:p>
    <w:p>
      <w:pPr>
        <w:pStyle w:val="BodyText"/>
      </w:pPr>
      <w:r>
        <w:t xml:space="preserve">This Quotation Estimate is a confidential document intended solely for the named recipient. Unauthorized distribution is prohibited.</w:t>
      </w:r>
    </w:p>
    <w:p>
      <w:pPr>
        <w:pStyle w:val="BodyText"/>
      </w:pPr>
      <w:r>
        <w:t xml:space="preserve">Page 1 of 1 — Generated: 15 January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Astronomer Services - Saudi Arabia Riyadh</dc:title>
  <dc:creator/>
  <dc:language>en</dc:language>
  <cp:keywords/>
  <dcterms:created xsi:type="dcterms:W3CDTF">2026-10-10T02:56:58Z</dcterms:created>
  <dcterms:modified xsi:type="dcterms:W3CDTF">2026-10-10T02:56:58Z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