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quotation-estimate"/>
    <w:p>
      <w:pPr>
        <w:pStyle w:val="Heading1"/>
      </w:pPr>
      <w:r>
        <w:t xml:space="preserve">QUOTATION ESTIMATE</w:t>
      </w:r>
    </w:p>
    <w:bookmarkStart w:id="20" w:name="Xe55bc0977609fbec45da00077d360b074668bc5"/>
    <w:p>
      <w:pPr>
        <w:pStyle w:val="Heading2"/>
      </w:pPr>
      <w:r>
        <w:t xml:space="preserve">Professional Astronomer Consulting &amp; Advisory Services</w:t>
      </w:r>
    </w:p>
    <w:p>
      <w:pPr>
        <w:pStyle w:val="FirstParagraph"/>
      </w:pPr>
      <w:r>
        <w:t xml:space="preserve">Reference No: QTE-VN-HCM-2025-0047 | Valid Until: 30 June 2025</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Nguyen Van Minh, Lead Astronomer &amp; Principal Consultant</w:t>
            </w:r>
          </w:p>
        </w:tc>
      </w:tr>
      <w:tr>
        <w:tc>
          <w:tcPr/>
          <w:p>
            <w:pPr>
              <w:pStyle w:val="Compact"/>
              <w:jc w:val="left"/>
            </w:pPr>
            <w:r>
              <w:t xml:space="preserve">Company:</w:t>
            </w:r>
          </w:p>
        </w:tc>
        <w:tc>
          <w:tcPr/>
          <w:p>
            <w:pPr>
              <w:pStyle w:val="Compact"/>
              <w:jc w:val="left"/>
            </w:pPr>
            <w:r>
              <w:t xml:space="preserve">Stellar Horizon Astronomical Advisory Group Co., Ltd.</w:t>
            </w:r>
          </w:p>
        </w:tc>
      </w:tr>
      <w:tr>
        <w:tc>
          <w:tcPr/>
          <w:p>
            <w:pPr>
              <w:pStyle w:val="Compact"/>
              <w:jc w:val="left"/>
            </w:pPr>
            <w:r>
              <w:t xml:space="preserve">Address:</w:t>
            </w:r>
          </w:p>
        </w:tc>
        <w:tc>
          <w:tcPr/>
          <w:p>
            <w:pPr>
              <w:pStyle w:val="Compact"/>
              <w:jc w:val="left"/>
            </w:pPr>
            <w:r>
              <w:t xml:space="preserve">128 Le Duan Street, District 3, Vietnam Ho Chi Minh City, 700000, Vietnam</w:t>
            </w:r>
          </w:p>
        </w:tc>
      </w:tr>
      <w:tr>
        <w:tc>
          <w:tcPr/>
          <w:p>
            <w:pPr>
              <w:pStyle w:val="Compact"/>
              <w:jc w:val="left"/>
            </w:pPr>
            <w:r>
              <w:t xml:space="preserve">Client:</w:t>
            </w:r>
          </w:p>
        </w:tc>
        <w:tc>
          <w:tcPr/>
          <w:p>
            <w:pPr>
              <w:pStyle w:val="Compact"/>
              <w:jc w:val="left"/>
            </w:pPr>
            <w:r>
              <w:t xml:space="preserve">Ho Chi Minh City University of Science and Technology – Department of Physics &amp; Astronomy</w:t>
            </w:r>
          </w:p>
        </w:tc>
      </w:tr>
      <w:tr>
        <w:tc>
          <w:tcPr/>
          <w:p>
            <w:pPr>
              <w:pStyle w:val="Compact"/>
              <w:jc w:val="left"/>
            </w:pPr>
            <w:r>
              <w:t xml:space="preserve">Client Address:</w:t>
            </w:r>
          </w:p>
        </w:tc>
        <w:tc>
          <w:tcPr/>
          <w:p>
            <w:pPr>
              <w:pStyle w:val="Compact"/>
              <w:jc w:val="left"/>
            </w:pPr>
            <w:r>
              <w:t xml:space="preserve">227 Nguyen Van Cu Street, District 5, Vietnam Ho Chi Minh City, 700000, Vietnam</w:t>
            </w:r>
          </w:p>
        </w:tc>
      </w:tr>
      <w:tr>
        <w:tc>
          <w:tcPr/>
          <w:p>
            <w:pPr>
              <w:pStyle w:val="Compact"/>
              <w:jc w:val="left"/>
            </w:pPr>
            <w:r>
              <w:t xml:space="preserve">Date of Issue:</w:t>
            </w:r>
          </w:p>
        </w:tc>
        <w:tc>
          <w:tcPr/>
          <w:p>
            <w:pPr>
              <w:pStyle w:val="Compact"/>
              <w:jc w:val="left"/>
            </w:pPr>
            <w:r>
              <w:t xml:space="preserve">15 January 2025</w:t>
            </w:r>
          </w:p>
        </w:tc>
      </w:tr>
      <w:tr>
        <w:tc>
          <w:tcPr/>
          <w:p>
            <w:pPr>
              <w:pStyle w:val="Compact"/>
              <w:jc w:val="left"/>
            </w:pPr>
            <w:r>
              <w:t xml:space="preserve">Project Duration:</w:t>
            </w:r>
          </w:p>
        </w:tc>
        <w:tc>
          <w:tcPr/>
          <w:p>
            <w:pPr>
              <w:pStyle w:val="Compact"/>
              <w:jc w:val="left"/>
            </w:pPr>
            <w:r>
              <w:t xml:space="preserve">12 months (February 2025 – January 2026)</w:t>
            </w:r>
          </w:p>
        </w:tc>
      </w:tr>
      <w:tr>
        <w:tc>
          <w:tcPr/>
          <w:p>
            <w:pPr>
              <w:pStyle w:val="Compact"/>
              <w:jc w:val="left"/>
            </w:pPr>
            <w:r>
              <w:t xml:space="preserve">Currency:</w:t>
            </w:r>
          </w:p>
        </w:tc>
        <w:tc>
          <w:tcPr/>
          <w:p>
            <w:pPr>
              <w:pStyle w:val="Compact"/>
              <w:jc w:val="left"/>
            </w:pPr>
            <w:r>
              <w:t xml:space="preserve">Vietnamese Dong (VND) / US Dollar (USD)</w:t>
            </w:r>
          </w:p>
        </w:tc>
      </w:tr>
    </w:tbl>
    <w:bookmarkStart w:id="22" w:name="X0c7581080508d578c26b6d8dfd726c7e3ca5cc9"/>
    <w:p>
      <w:pPr>
        <w:pStyle w:val="Heading3"/>
      </w:pPr>
      <w:r>
        <w:t xml:space="preserve">1. Purpose and Scope of This Quotation Estimate</w:t>
      </w:r>
    </w:p>
    <w:p>
      <w:pPr>
        <w:pStyle w:val="FirstParagraph"/>
      </w:pPr>
      <w:r>
        <w:t xml:space="preserve">This Quotation Estimate is issued by Stellar Horizon Astronomical Advisory Group Co., Ltd. to formally present the cost structure, deliverables, and professional terms for engaging a senior Astronomer to provide comprehensive consulting, research supervision, and technical advisory services within Vietnam Ho Chi Minh City. The Astronomer engaged under this Quotation Estimate shall serve as the principal scientific authority for all astronomical research initiatives, observational campaigns, and academic programs conducted at the client's facility in Vietnam Ho Chi Minh City throughout the stipulated project duration.</w:t>
      </w:r>
    </w:p>
    <w:p>
      <w:pPr>
        <w:pStyle w:val="BodyText"/>
      </w:pPr>
      <w:r>
        <w:t xml:space="preserve">The scope of work encompasses the Astronomer's full-time on-site presence in Vietnam Ho Chi Minh City for a minimum of four (4) days per week, with the remaining time allocated to remote data analysis, international collaboration coordination, and publication oversight. All services described in this Quotation Estimate are tailored specifically to the operational and academic requirements of the client institution located in Vietnam Ho Chi Minh City.</w:t>
      </w:r>
    </w:p>
    <w:bookmarkEnd w:id="22"/>
    <w:bookmarkStart w:id="23" w:name="detailed-breakdown-of-services-and-costs"/>
    <w:p>
      <w:pPr>
        <w:pStyle w:val="Heading3"/>
      </w:pPr>
      <w:r>
        <w:t xml:space="preserve">2. Detailed Breakdown of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Duration / Frequency</w:t>
            </w:r>
          </w:p>
        </w:tc>
        <w:tc>
          <w:tcPr/>
          <w:p>
            <w:pPr>
              <w:pStyle w:val="Compact"/>
              <w:jc w:val="left"/>
            </w:pPr>
            <w:r>
              <w:t xml:space="preserve">Unit</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Senior Astronomer – Full-time Research Supervision &amp; Academic Leadership in Vietnam Ho Chi Minh City</w:t>
            </w:r>
          </w:p>
        </w:tc>
        <w:tc>
          <w:tcPr/>
          <w:p>
            <w:pPr>
              <w:pStyle w:val="Compact"/>
              <w:jc w:val="left"/>
            </w:pPr>
            <w:r>
              <w:t xml:space="preserve">12 months</w:t>
            </w:r>
          </w:p>
        </w:tc>
        <w:tc>
          <w:tcPr/>
          <w:p>
            <w:pPr>
              <w:pStyle w:val="Compact"/>
              <w:jc w:val="left"/>
            </w:pPr>
            <w:r>
              <w:t xml:space="preserve">Monthly retainer</w:t>
            </w:r>
          </w:p>
        </w:tc>
        <w:tc>
          <w:tcPr/>
          <w:p>
            <w:pPr>
              <w:pStyle w:val="Compact"/>
              <w:jc w:val="left"/>
            </w:pPr>
            <w:r>
              <w:t xml:space="preserve">185,000,000 / month</w:t>
            </w:r>
          </w:p>
        </w:tc>
      </w:tr>
      <w:tr>
        <w:tc>
          <w:tcPr/>
          <w:p>
            <w:pPr>
              <w:pStyle w:val="Compact"/>
              <w:jc w:val="left"/>
            </w:pPr>
            <w:r>
              <w:t xml:space="preserve">2</w:t>
            </w:r>
          </w:p>
        </w:tc>
        <w:tc>
          <w:tcPr/>
          <w:p>
            <w:pPr>
              <w:pStyle w:val="Compact"/>
              <w:jc w:val="left"/>
            </w:pPr>
            <w:r>
              <w:t xml:space="preserve">Astronomer-led Observational Campaign Planning (optical, radio, and infrared) at local and partner observatories</w:t>
            </w:r>
          </w:p>
        </w:tc>
        <w:tc>
          <w:tcPr/>
          <w:p>
            <w:pPr>
              <w:pStyle w:val="Compact"/>
              <w:jc w:val="left"/>
            </w:pPr>
            <w:r>
              <w:t xml:space="preserve">4 campaigns / year</w:t>
            </w:r>
          </w:p>
        </w:tc>
        <w:tc>
          <w:tcPr/>
          <w:p>
            <w:pPr>
              <w:pStyle w:val="Compact"/>
              <w:jc w:val="left"/>
            </w:pPr>
            <w:r>
              <w:t xml:space="preserve">Per campaign</w:t>
            </w:r>
          </w:p>
        </w:tc>
        <w:tc>
          <w:tcPr/>
          <w:p>
            <w:pPr>
              <w:pStyle w:val="Compact"/>
              <w:jc w:val="left"/>
            </w:pPr>
            <w:r>
              <w:t xml:space="preserve">42,000,000 / campaign</w:t>
            </w:r>
          </w:p>
        </w:tc>
      </w:tr>
      <w:tr>
        <w:tc>
          <w:tcPr/>
          <w:p>
            <w:pPr>
              <w:pStyle w:val="Compact"/>
              <w:jc w:val="left"/>
            </w:pPr>
            <w:r>
              <w:t xml:space="preserve">3</w:t>
            </w:r>
          </w:p>
        </w:tc>
        <w:tc>
          <w:tcPr/>
          <w:p>
            <w:pPr>
              <w:pStyle w:val="Compact"/>
              <w:jc w:val="left"/>
            </w:pPr>
            <w:r>
              <w:t xml:space="preserve">Astronomer Technical Advisory – Telescope Instrumentation Calibration &amp; Maintenance Oversight</w:t>
            </w:r>
          </w:p>
        </w:tc>
        <w:tc>
          <w:tcPr/>
          <w:p>
            <w:pPr>
              <w:pStyle w:val="Compact"/>
              <w:jc w:val="left"/>
            </w:pPr>
            <w:r>
              <w:t xml:space="preserve">Quarterly</w:t>
            </w:r>
          </w:p>
        </w:tc>
        <w:tc>
          <w:tcPr/>
          <w:p>
            <w:pPr>
              <w:pStyle w:val="Compact"/>
              <w:jc w:val="left"/>
            </w:pPr>
            <w:r>
              <w:t xml:space="preserve">Per quarter</w:t>
            </w:r>
          </w:p>
        </w:tc>
        <w:tc>
          <w:tcPr/>
          <w:p>
            <w:pPr>
              <w:pStyle w:val="Compact"/>
              <w:jc w:val="left"/>
            </w:pPr>
            <w:r>
              <w:t xml:space="preserve">28,000,000 / quarter</w:t>
            </w:r>
          </w:p>
        </w:tc>
      </w:tr>
      <w:tr>
        <w:tc>
          <w:tcPr/>
          <w:p>
            <w:pPr>
              <w:pStyle w:val="Compact"/>
              <w:jc w:val="left"/>
            </w:pPr>
            <w:r>
              <w:t xml:space="preserve">4</w:t>
            </w:r>
          </w:p>
        </w:tc>
        <w:tc>
          <w:tcPr/>
          <w:p>
            <w:pPr>
              <w:pStyle w:val="Compact"/>
              <w:jc w:val="left"/>
            </w:pPr>
            <w:r>
              <w:t xml:space="preserve">Astronomer-Led Graduate Student Mentorship Program (up to 8 PhD candidates)</w:t>
            </w:r>
          </w:p>
        </w:tc>
        <w:tc>
          <w:tcPr/>
          <w:p>
            <w:pPr>
              <w:pStyle w:val="Compact"/>
              <w:jc w:val="left"/>
            </w:pPr>
            <w:r>
              <w:t xml:space="preserve">12 months</w:t>
            </w:r>
          </w:p>
        </w:tc>
        <w:tc>
          <w:tcPr/>
          <w:p>
            <w:pPr>
              <w:pStyle w:val="Compact"/>
              <w:jc w:val="left"/>
            </w:pPr>
            <w:r>
              <w:t xml:space="preserve">Annual package</w:t>
            </w:r>
          </w:p>
        </w:tc>
        <w:tc>
          <w:tcPr/>
          <w:p>
            <w:pPr>
              <w:pStyle w:val="Compact"/>
              <w:jc w:val="left"/>
            </w:pPr>
            <w:r>
              <w:t xml:space="preserve">96,000,000 / year</w:t>
            </w:r>
          </w:p>
        </w:tc>
      </w:tr>
      <w:tr>
        <w:tc>
          <w:tcPr/>
          <w:p>
            <w:pPr>
              <w:pStyle w:val="Compact"/>
              <w:jc w:val="left"/>
            </w:pPr>
            <w:r>
              <w:t xml:space="preserve">5</w:t>
            </w:r>
          </w:p>
        </w:tc>
        <w:tc>
          <w:tcPr/>
          <w:p>
            <w:pPr>
              <w:pStyle w:val="Compact"/>
              <w:jc w:val="left"/>
            </w:pPr>
            <w:r>
              <w:t xml:space="preserve">International Conference Representation &amp; Astronomer Panel Judging (minimum 2 events in Vietnam Ho Chi Minh City)</w:t>
            </w:r>
          </w:p>
        </w:tc>
        <w:tc>
          <w:tcPr/>
          <w:p>
            <w:pPr>
              <w:pStyle w:val="Compact"/>
              <w:jc w:val="left"/>
            </w:pPr>
            <w:r>
              <w:t xml:space="preserve">2 events</w:t>
            </w:r>
          </w:p>
        </w:tc>
        <w:tc>
          <w:tcPr/>
          <w:p>
            <w:pPr>
              <w:pStyle w:val="Compact"/>
              <w:jc w:val="left"/>
            </w:pPr>
            <w:r>
              <w:t xml:space="preserve">Per event</w:t>
            </w:r>
          </w:p>
        </w:tc>
        <w:tc>
          <w:tcPr/>
          <w:p>
            <w:pPr>
              <w:pStyle w:val="Compact"/>
              <w:jc w:val="left"/>
            </w:pPr>
            <w:r>
              <w:t xml:space="preserve">15,000,000 / event</w:t>
            </w:r>
          </w:p>
        </w:tc>
      </w:tr>
      <w:tr>
        <w:tc>
          <w:tcPr/>
          <w:p>
            <w:pPr>
              <w:pStyle w:val="Compact"/>
              <w:jc w:val="left"/>
            </w:pPr>
            <w:r>
              <w:t xml:space="preserve">6</w:t>
            </w:r>
          </w:p>
        </w:tc>
        <w:tc>
          <w:tcPr/>
          <w:p>
            <w:pPr>
              <w:pStyle w:val="Compact"/>
              <w:jc w:val="left"/>
            </w:pPr>
            <w:r>
              <w:t xml:space="preserve">Public Astronomy Outreach &amp; Science Communication Programs in Vietnam Ho Chi Minh City (schools, museums, community events)</w:t>
            </w:r>
          </w:p>
        </w:tc>
        <w:tc>
          <w:tcPr/>
          <w:p>
            <w:pPr>
              <w:pStyle w:val="Compact"/>
              <w:jc w:val="left"/>
            </w:pPr>
            <w:r>
              <w:t xml:space="preserve">6 sessions / year</w:t>
            </w:r>
          </w:p>
        </w:tc>
        <w:tc>
          <w:tcPr/>
          <w:p>
            <w:pPr>
              <w:pStyle w:val="Compact"/>
              <w:jc w:val="left"/>
            </w:pPr>
            <w:r>
              <w:t xml:space="preserve">Per session</w:t>
            </w:r>
          </w:p>
        </w:tc>
        <w:tc>
          <w:tcPr/>
          <w:p>
            <w:pPr>
              <w:pStyle w:val="Compact"/>
              <w:jc w:val="left"/>
            </w:pPr>
            <w:r>
              <w:t xml:space="preserve">8,500,000 / session</w:t>
            </w:r>
          </w:p>
        </w:tc>
      </w:tr>
      <w:tr>
        <w:tc>
          <w:tcPr/>
          <w:p>
            <w:pPr>
              <w:pStyle w:val="Compact"/>
              <w:jc w:val="left"/>
            </w:pPr>
            <w:r>
              <w:t xml:space="preserve">7</w:t>
            </w:r>
          </w:p>
        </w:tc>
        <w:tc>
          <w:tcPr/>
          <w:p>
            <w:pPr>
              <w:pStyle w:val="Compact"/>
              <w:jc w:val="left"/>
            </w:pPr>
            <w:r>
              <w:t xml:space="preserve">Travel, Accommodation &amp; Local Transportation for the Astronomer within Vietnam Ho Chi Minh City and regional observatory sites</w:t>
            </w:r>
          </w:p>
        </w:tc>
        <w:tc>
          <w:tcPr/>
          <w:p>
            <w:pPr>
              <w:pStyle w:val="Compact"/>
              <w:jc w:val="left"/>
            </w:pPr>
            <w:r>
              <w:t xml:space="preserve">12 months</w:t>
            </w:r>
          </w:p>
        </w:tc>
        <w:tc>
          <w:tcPr/>
          <w:p>
            <w:pPr>
              <w:pStyle w:val="Compact"/>
              <w:jc w:val="left"/>
            </w:pPr>
            <w:r>
              <w:t xml:space="preserve">Annual allowance</w:t>
            </w:r>
          </w:p>
        </w:tc>
        <w:tc>
          <w:tcPr/>
          <w:p>
            <w:pPr>
              <w:pStyle w:val="Compact"/>
              <w:jc w:val="left"/>
            </w:pPr>
            <w:r>
              <w:t xml:space="preserve">36,000,000 / year</w:t>
            </w:r>
          </w:p>
        </w:tc>
      </w:tr>
      <w:tr>
        <w:tc>
          <w:tcPr/>
          <w:p>
            <w:pPr>
              <w:pStyle w:val="Compact"/>
              <w:jc w:val="left"/>
            </w:pPr>
            <w:r>
              <w:t xml:space="preserve">8</w:t>
            </w:r>
          </w:p>
        </w:tc>
        <w:tc>
          <w:tcPr/>
          <w:p>
            <w:pPr>
              <w:pStyle w:val="Compact"/>
              <w:jc w:val="left"/>
            </w:pPr>
            <w:r>
              <w:t xml:space="preserve">Software Licenses, Data Processing Tools &amp; Computational Resources for the Astronomer's research pipeline</w:t>
            </w:r>
          </w:p>
        </w:tc>
        <w:tc>
          <w:tcPr/>
          <w:p>
            <w:pPr>
              <w:pStyle w:val="Compact"/>
              <w:jc w:val="left"/>
            </w:pPr>
            <w:r>
              <w:t xml:space="preserve">12 months</w:t>
            </w:r>
          </w:p>
        </w:tc>
        <w:tc>
          <w:tcPr/>
          <w:p>
            <w:pPr>
              <w:pStyle w:val="Compact"/>
              <w:jc w:val="left"/>
            </w:pPr>
            <w:r>
              <w:t xml:space="preserve">Annual subscription</w:t>
            </w:r>
          </w:p>
        </w:tc>
        <w:tc>
          <w:tcPr/>
          <w:p>
            <w:pPr>
              <w:pStyle w:val="Compact"/>
              <w:jc w:val="left"/>
            </w:pPr>
            <w:r>
              <w:t xml:space="preserve">22,000,000 / year</w:t>
            </w:r>
          </w:p>
        </w:tc>
      </w:tr>
      <w:tr>
        <w:tc>
          <w:tcPr/>
          <w:p>
            <w:pPr>
              <w:pStyle w:val="Compact"/>
              <w:jc w:val="left"/>
            </w:pPr>
            <w:r>
              <w:t xml:space="preserve">9</w:t>
            </w:r>
          </w:p>
        </w:tc>
        <w:tc>
          <w:tcPr/>
          <w:p>
            <w:pPr>
              <w:pStyle w:val="Compact"/>
              <w:jc w:val="left"/>
            </w:pPr>
            <w:r>
              <w:t xml:space="preserve">Publication Support – Peer-review coordination, journal submission fees, and open-access charges (up to 5 papers)</w:t>
            </w:r>
          </w:p>
        </w:tc>
        <w:tc>
          <w:tcPr/>
          <w:p>
            <w:pPr>
              <w:pStyle w:val="Compact"/>
              <w:jc w:val="left"/>
            </w:pPr>
            <w:r>
              <w:t xml:space="preserve">12 months</w:t>
            </w:r>
          </w:p>
        </w:tc>
        <w:tc>
          <w:tcPr/>
          <w:p>
            <w:pPr>
              <w:pStyle w:val="Compact"/>
              <w:jc w:val="left"/>
            </w:pPr>
            <w:r>
              <w:t xml:space="preserve">Per paper</w:t>
            </w:r>
          </w:p>
        </w:tc>
        <w:tc>
          <w:tcPr/>
          <w:p>
            <w:pPr>
              <w:pStyle w:val="Compact"/>
              <w:jc w:val="left"/>
            </w:pPr>
            <w:r>
              <w:t xml:space="preserve">12,000,000 / paper</w:t>
            </w:r>
          </w:p>
        </w:tc>
      </w:tr>
      <w:tr>
        <w:tc>
          <w:tcPr/>
          <w:p>
            <w:pPr>
              <w:pStyle w:val="Compact"/>
              <w:jc w:val="left"/>
            </w:pPr>
            <w:r>
              <w:t xml:space="preserve">10</w:t>
            </w:r>
          </w:p>
        </w:tc>
        <w:tc>
          <w:tcPr/>
          <w:p>
            <w:pPr>
              <w:pStyle w:val="Compact"/>
              <w:jc w:val="left"/>
            </w:pPr>
            <w:r>
              <w:t xml:space="preserve">Administrative &amp; Project Management Overhead (10% of subtotal)</w:t>
            </w:r>
          </w:p>
        </w:tc>
        <w:tc>
          <w:tcPr/>
          <w:p>
            <w:pPr>
              <w:pStyle w:val="Compact"/>
              <w:jc w:val="left"/>
            </w:pPr>
            <w:r>
              <w:t xml:space="preserve">12 months</w:t>
            </w:r>
          </w:p>
        </w:tc>
        <w:tc>
          <w:tcPr/>
          <w:p>
            <w:pPr>
              <w:pStyle w:val="Compact"/>
              <w:jc w:val="left"/>
            </w:pPr>
            <w:r>
              <w:t xml:space="preserve">Calculated</w:t>
            </w:r>
          </w:p>
        </w:tc>
        <w:tc>
          <w:tcPr/>
          <w:p>
            <w:pPr>
              <w:pStyle w:val="Compact"/>
              <w:jc w:val="left"/>
            </w:pPr>
            <w:r>
              <w:t xml:space="preserve">38,350,000</w:t>
            </w:r>
          </w:p>
        </w:tc>
      </w:tr>
    </w:tbl>
    <w:bookmarkEnd w:id="23"/>
    <w:bookmarkStart w:id="24" w:name="financial-summary"/>
    <w:p>
      <w:pPr>
        <w:pStyle w:val="Heading3"/>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1–9)</w:t>
            </w:r>
          </w:p>
        </w:tc>
        <w:tc>
          <w:tcPr/>
          <w:p>
            <w:pPr>
              <w:pStyle w:val="Compact"/>
              <w:jc w:val="left"/>
            </w:pPr>
            <w:r>
              <w:t xml:space="preserve">345,150,000 VND</w:t>
            </w:r>
          </w:p>
        </w:tc>
      </w:tr>
      <w:tr>
        <w:tc>
          <w:tcPr/>
          <w:p>
            <w:pPr>
              <w:pStyle w:val="Compact"/>
              <w:jc w:val="left"/>
            </w:pPr>
            <w:r>
              <w:t xml:space="preserve">Administrative Overhead (10%)</w:t>
            </w:r>
          </w:p>
        </w:tc>
        <w:tc>
          <w:tcPr/>
          <w:p>
            <w:pPr>
              <w:pStyle w:val="Compact"/>
              <w:jc w:val="left"/>
            </w:pPr>
            <w:r>
              <w:t xml:space="preserve">38,350,000 VND</w:t>
            </w:r>
          </w:p>
        </w:tc>
      </w:tr>
      <w:tr>
        <w:tc>
          <w:tcPr/>
          <w:p>
            <w:pPr>
              <w:pStyle w:val="Compact"/>
              <w:jc w:val="left"/>
            </w:pPr>
            <w:r>
              <w:t xml:space="preserve">TOTAL QUOTATION ESTIMATE (before VAT)</w:t>
            </w:r>
          </w:p>
        </w:tc>
        <w:tc>
          <w:tcPr/>
          <w:p>
            <w:pPr>
              <w:pStyle w:val="Compact"/>
              <w:jc w:val="left"/>
            </w:pPr>
            <w:r>
              <w:t xml:space="preserve">383,500,000 VND</w:t>
            </w:r>
          </w:p>
        </w:tc>
      </w:tr>
      <w:tr>
        <w:tc>
          <w:tcPr/>
          <w:p>
            <w:pPr>
              <w:pStyle w:val="Compact"/>
              <w:jc w:val="left"/>
            </w:pPr>
            <w:r>
              <w:t xml:space="preserve">VAT (10%)</w:t>
            </w:r>
          </w:p>
        </w:tc>
        <w:tc>
          <w:tcPr/>
          <w:p>
            <w:pPr>
              <w:pStyle w:val="Compact"/>
              <w:jc w:val="left"/>
            </w:pPr>
            <w:r>
              <w:t xml:space="preserve">38,350,000 VND</w:t>
            </w:r>
          </w:p>
        </w:tc>
      </w:tr>
      <w:tr>
        <w:tc>
          <w:tcPr/>
          <w:p>
            <w:pPr>
              <w:pStyle w:val="Compact"/>
              <w:jc w:val="left"/>
            </w:pPr>
            <w:r>
              <w:t xml:space="preserve">GRAND TOTAL (VAT inclusive)</w:t>
            </w:r>
          </w:p>
        </w:tc>
        <w:tc>
          <w:tcPr/>
          <w:p>
            <w:pPr>
              <w:pStyle w:val="Compact"/>
              <w:jc w:val="left"/>
            </w:pPr>
            <w:r>
              <w:t xml:space="preserve">421,850,000 VND (≈ USD 16,874)</w:t>
            </w:r>
          </w:p>
        </w:tc>
      </w:tr>
    </w:tbl>
    <w:bookmarkEnd w:id="24"/>
    <w:bookmarkStart w:id="25" w:name="terms-and-conditions"/>
    <w:p>
      <w:pPr>
        <w:pStyle w:val="Heading3"/>
      </w:pPr>
      <w:r>
        <w:t xml:space="preserve">4. Terms and Conditions</w:t>
      </w:r>
    </w:p>
    <w:p>
      <w:pPr>
        <w:pStyle w:val="FirstParagraph"/>
      </w:pPr>
      <w:r>
        <w:t xml:space="preserve">This Quotation Estimate is valid for a period of sixty (60) calendar days from the date of issue. Payment terms are structured as follows: 30% advance payment upon contract execution, 40% upon completion of the sixth month, and 30% upon final project delivery and acceptance. All payments shall be made in Vietnamese Dong (VND) via bank transfer to the account designated by Stellar Horizon Astronomical Advisory Group Co., Ltd., registered in Vietnam Ho Chi Minh City.</w:t>
      </w:r>
    </w:p>
    <w:p>
      <w:pPr>
        <w:pStyle w:val="BodyText"/>
      </w:pPr>
      <w:r>
        <w:t xml:space="preserve">The Astronomer's engagement is subject to a non-compete clause for a period of six (6) months following the conclusion of this Quotation Estimate's project term. Intellectual property generated by the Astronomer during the engagement period shall be jointly owned by the client and the Astronomer, with specific provisions outlined in the supplementary agreement. Any force majeure events, including but not limited to natural disasters affecting Vietnam Ho Chi Minh City, shall be addressed through mutual written consent and may result in a proportional extension of the project timeline.</w:t>
      </w:r>
    </w:p>
    <w:p>
      <w:pPr>
        <w:pStyle w:val="BodyText"/>
      </w:pPr>
      <w:r>
        <w:t xml:space="preserve">This Quotation Estimate does not constitute a binding contract until both parties have executed the formal Service Agreement. All modifications to the scope, cost, or timeline must be documented in a written amendment signed by authorized representatives of both parties. The Astronomer reserves the right to decline any task that falls outside the defined scope of astronomical research, observation, and academic advisory without incurring additional charges under this Quotation Estimate.</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of this Quotation Estimate and agrees to the terms, conditions, and financial obligations outlined herein for the engagement of the Astronomer in Vietnam Ho Chi Minh City.</w:t>
      </w:r>
    </w:p>
    <w:p>
      <w:pPr>
        <w:pStyle w:val="BodyText"/>
      </w:pPr>
      <w:r>
        <w:rPr>
          <w:bCs/>
          <w:b/>
        </w:rPr>
        <w:t xml:space="preserve">For Stellar Horizon Astronomical Advisory Group Co., Ltd.</w:t>
      </w:r>
    </w:p>
    <w:p>
      <w:pPr>
        <w:pStyle w:val="BodyText"/>
      </w:pPr>
      <w:r>
        <w:t xml:space="preserve">Dr. Nguyen Van Minh – Lead Astronomer &amp; Director</w:t>
      </w:r>
    </w:p>
    <w:p>
      <w:pPr>
        <w:pStyle w:val="BodyText"/>
      </w:pPr>
      <w:r>
        <w:t xml:space="preserve">Date: _______________</w:t>
      </w:r>
    </w:p>
    <w:p>
      <w:pPr>
        <w:pStyle w:val="BodyText"/>
      </w:pPr>
      <w:r>
        <w:rPr>
          <w:bCs/>
          <w:b/>
        </w:rPr>
        <w:t xml:space="preserve">For Ho Chi Minh City University of Science and Technology</w:t>
      </w:r>
    </w:p>
    <w:p>
      <w:pPr>
        <w:pStyle w:val="BodyText"/>
      </w:pPr>
      <w:r>
        <w:t xml:space="preserve">Authorized Representative – Department of Physics &amp; Astronomy</w:t>
      </w:r>
    </w:p>
    <w:p>
      <w:pPr>
        <w:pStyle w:val="BodyText"/>
      </w:pPr>
      <w:r>
        <w:t xml:space="preserve">Date: _______________</w:t>
      </w:r>
    </w:p>
    <w:p>
      <w:pPr>
        <w:pStyle w:val="BodyText"/>
      </w:pPr>
      <w:r>
        <w:t xml:space="preserve">Stellar Horizon Astronomical Advisory Group Co., Ltd. | 128 Le Duan Street, District 3, Vietnam Ho Chi Minh City, 700000, Vietnam</w:t>
      </w:r>
    </w:p>
    <w:p>
      <w:pPr>
        <w:pStyle w:val="BodyText"/>
      </w:pPr>
      <w:r>
        <w:t xml:space="preserve">Tel: +84 28 3822 4567 | Email: contact@stellarhorizon-vn.com | Tax Code: 0312345678</w:t>
      </w:r>
    </w:p>
    <w:p>
      <w:pPr>
        <w:pStyle w:val="BodyText"/>
      </w:pPr>
      <w:r>
        <w:t xml:space="preserve">This Quotation Estimate is a confidential document intended solely for the named client.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Vietnam Ho Chi Minh City</dc:title>
  <dc:creator/>
  <dc:language>en</dc:language>
  <cp:keywords/>
  <dcterms:created xsi:type="dcterms:W3CDTF">2026-10-10T01:24:41Z</dcterms:created>
  <dcterms:modified xsi:type="dcterms:W3CDTF">2026-10-10T01:24:41Z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