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quotation-estimate"/>
    <w:p>
      <w:pPr>
        <w:pStyle w:val="Heading1"/>
      </w:pPr>
      <w:r>
        <w:t xml:space="preserve">Quotation Estimate</w:t>
      </w:r>
    </w:p>
    <w:p>
      <w:pPr>
        <w:pStyle w:val="FirstParagraph"/>
      </w:pPr>
      <w:r>
        <w:rPr>
          <w:bCs/>
          <w:b/>
        </w:rPr>
        <w:t xml:space="preserve">Atlas Audit &amp; Advisory Partners</w:t>
      </w:r>
    </w:p>
    <w:p>
      <w:pPr>
        <w:pStyle w:val="BodyText"/>
      </w:pPr>
      <w:r>
        <w:t xml:space="preserve">12, Boulevard Zighout Youcef, Hydra, 16000 Algiers, Algeria</w:t>
      </w:r>
    </w:p>
    <w:p>
      <w:pPr>
        <w:pStyle w:val="BodyText"/>
      </w:pPr>
      <w:r>
        <w:t xml:space="preserve">Tel: +213 (0) 21 23 45 67 | Email: info@atlasaudit.dz</w:t>
      </w:r>
    </w:p>
    <w:p>
      <w:pPr>
        <w:pStyle w:val="BodyText"/>
      </w:pPr>
      <w:r>
        <w:t xml:space="preserve">RC: 16/00-1234567 B 2019 | NIF: 002345678901234</w:t>
      </w:r>
    </w:p>
    <w:p>
      <w:pPr>
        <w:pStyle w:val="BodyText"/>
      </w:pPr>
      <w:r>
        <w:t xml:space="preserve">Quotation Estimate No. QTE-2025-0847</w:t>
      </w:r>
    </w:p>
    <w:bookmarkEnd w:id="20"/>
    <w:p>
      <w:pPr>
        <w:pStyle w:val="BodyText"/>
      </w:pPr>
      <w:r>
        <w:rPr>
          <w:bCs/>
          <w:b/>
        </w:rPr>
        <w:t xml:space="preserve">Date of Issue:</w:t>
      </w:r>
      <w:r>
        <w:t xml:space="preserve"> </w:t>
      </w:r>
      <w:r>
        <w:t xml:space="preserve">15 June 2025</w:t>
      </w:r>
      <w:r>
        <w:br/>
      </w:r>
      <w:r>
        <w:rPr>
          <w:bCs/>
          <w:b/>
        </w:rPr>
        <w:t xml:space="preserve">Quotation Estimate Validity:</w:t>
      </w:r>
      <w:r>
        <w:t xml:space="preserve"> </w:t>
      </w:r>
      <w:r>
        <w:t xml:space="preserve">30 days</w:t>
      </w:r>
      <w:r>
        <w:br/>
      </w:r>
      <w:r>
        <w:rPr>
          <w:bCs/>
          <w:b/>
        </w:rPr>
        <w:t xml:space="preserve">Reference:</w:t>
      </w:r>
      <w:r>
        <w:t xml:space="preserve"> </w:t>
      </w:r>
      <w:r>
        <w:t xml:space="preserve">AUD-ALG-2025-0847</w:t>
      </w:r>
    </w:p>
    <w:p>
      <w:pPr>
        <w:pStyle w:val="BodyText"/>
      </w:pPr>
      <w:r>
        <w:rPr>
          <w:bCs/>
          <w:b/>
        </w:rPr>
        <w:t xml:space="preserve">Prepared For:</w:t>
      </w:r>
      <w:r>
        <w:br/>
      </w:r>
      <w:r>
        <w:t xml:space="preserve">Société Algérienne de Distribution S.A.</w:t>
      </w:r>
      <w:r>
        <w:br/>
      </w:r>
      <w:r>
        <w:t xml:space="preserve">45, Rue Didouche Mourad, 16000 Algiers, Algeria</w:t>
      </w:r>
      <w:r>
        <w:br/>
      </w:r>
      <w:r>
        <w:t xml:space="preserve">Contact: Mr. Karim Benali, CFO</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Atlas Audit &amp; Advisory Partners to provide a comprehensive and transparent breakdown of professional fees for the engagement of a certified</w:t>
      </w:r>
      <w:r>
        <w:t xml:space="preserve"> </w:t>
      </w:r>
      <w:r>
        <w:t xml:space="preserve">Auditor</w:t>
      </w:r>
      <w:r>
        <w:t xml:space="preserve"> </w:t>
      </w:r>
      <w:r>
        <w:t xml:space="preserve">to conduct a full-scope financial and operational audit of Société Algérienne de Distribution S.A. The audit will be carried out in accordance with the Algerian Accounting Standards (SNA), the International Financial Reporting Standards (IFRS) as adopted in</w:t>
      </w:r>
      <w:r>
        <w:t xml:space="preserve"> </w:t>
      </w:r>
      <w:r>
        <w:t xml:space="preserve">Algeria</w:t>
      </w:r>
      <w:r>
        <w:t xml:space="preserve">, and the regulatory requirements set forth by the Algerian Ministry of Finance and the National Audit Authority (Cour des Comptes). This</w:t>
      </w:r>
      <w:r>
        <w:t xml:space="preserve"> </w:t>
      </w:r>
      <w:r>
        <w:t xml:space="preserve">Quotation Estimate</w:t>
      </w:r>
      <w:r>
        <w:t xml:space="preserve"> </w:t>
      </w:r>
      <w:r>
        <w:t xml:space="preserve">reflects our commitment to delivering the highest standard of</w:t>
      </w:r>
      <w:r>
        <w:t xml:space="preserve"> </w:t>
      </w:r>
      <w:r>
        <w:t xml:space="preserve">Auditor</w:t>
      </w:r>
      <w:r>
        <w:t xml:space="preserve"> </w:t>
      </w:r>
      <w:r>
        <w:t xml:space="preserve">services within the</w:t>
      </w:r>
      <w:r>
        <w:t xml:space="preserve"> </w:t>
      </w:r>
      <w:r>
        <w:t xml:space="preserve">Algeria Algiers</w:t>
      </w:r>
      <w:r>
        <w:t xml:space="preserve"> </w:t>
      </w:r>
      <w:r>
        <w:t xml:space="preserve">metropolitan region and its surrounding business districts.</w:t>
      </w:r>
    </w:p>
    <w:bookmarkEnd w:id="21"/>
    <w:bookmarkStart w:id="22" w:name="scope-of-auditor-services"/>
    <w:p>
      <w:pPr>
        <w:pStyle w:val="Heading2"/>
      </w:pPr>
      <w:r>
        <w:t xml:space="preserve">2. Scope of Auditor Services</w:t>
      </w:r>
    </w:p>
    <w:p>
      <w:pPr>
        <w:pStyle w:val="FirstParagraph"/>
      </w:pPr>
      <w:r>
        <w:t xml:space="preserve">The</w:t>
      </w:r>
      <w:r>
        <w:t xml:space="preserve"> </w:t>
      </w:r>
      <w:r>
        <w:t xml:space="preserve">Auditor</w:t>
      </w:r>
      <w:r>
        <w:t xml:space="preserve"> </w:t>
      </w:r>
      <w:r>
        <w:t xml:space="preserve">engagement proposed in this</w:t>
      </w:r>
      <w:r>
        <w:t xml:space="preserve"> </w:t>
      </w:r>
      <w:r>
        <w:t xml:space="preserve">Quotation Estimate</w:t>
      </w:r>
      <w:r>
        <w:t xml:space="preserve"> </w:t>
      </w:r>
      <w:r>
        <w:t xml:space="preserve">encompasses the following deliverables, all to be executed from our principal office in</w:t>
      </w:r>
      <w:r>
        <w:t xml:space="preserve"> </w:t>
      </w:r>
      <w:r>
        <w:t xml:space="preserve">Algeria Algiers</w:t>
      </w:r>
      <w:r>
        <w:t xml:space="preserve"> </w:t>
      </w:r>
      <w:r>
        <w:t xml:space="preserve">and at the client's premises as required:</w:t>
      </w:r>
    </w:p>
    <w:p>
      <w:pPr>
        <w:numPr>
          <w:ilvl w:val="0"/>
          <w:numId w:val="1001"/>
        </w:numPr>
        <w:pStyle w:val="Compact"/>
      </w:pPr>
      <w:r>
        <w:rPr>
          <w:bCs/>
          <w:b/>
        </w:rPr>
        <w:t xml:space="preserve">Financial Statement Audit:</w:t>
      </w:r>
      <w:r>
        <w:t xml:space="preserve"> </w:t>
      </w:r>
      <w:r>
        <w:t xml:space="preserve">Comprehensive examination of the annual financial statements, including the balance sheet, income statement, cash flow statement, and notes to the accounts, for the fiscal year 2024–2025.</w:t>
      </w:r>
    </w:p>
    <w:p>
      <w:pPr>
        <w:numPr>
          <w:ilvl w:val="0"/>
          <w:numId w:val="1001"/>
        </w:numPr>
        <w:pStyle w:val="Compact"/>
      </w:pPr>
      <w:r>
        <w:rPr>
          <w:bCs/>
          <w:b/>
        </w:rPr>
        <w:t xml:space="preserve">Internal Controls Assessment:</w:t>
      </w:r>
      <w:r>
        <w:t xml:space="preserve"> </w:t>
      </w:r>
      <w:r>
        <w:t xml:space="preserve">Evaluation of the existing internal control framework, identification of material weaknesses, and provision of remediation recommendations.</w:t>
      </w:r>
    </w:p>
    <w:p>
      <w:pPr>
        <w:numPr>
          <w:ilvl w:val="0"/>
          <w:numId w:val="1001"/>
        </w:numPr>
        <w:pStyle w:val="Compact"/>
      </w:pPr>
      <w:r>
        <w:rPr>
          <w:bCs/>
          <w:b/>
        </w:rPr>
        <w:t xml:space="preserve">Compliance Review:</w:t>
      </w:r>
      <w:r>
        <w:t xml:space="preserve"> </w:t>
      </w:r>
      <w:r>
        <w:t xml:space="preserve">Verification of adherence to Algerian commercial law, tax obligations under the Code des Impôts Directs et Taxes sur le Chiffre d'Affaires (CITCA), and sector-specific regulatory mandates applicable in</w:t>
      </w:r>
      <w:r>
        <w:t xml:space="preserve"> </w:t>
      </w:r>
      <w:r>
        <w:t xml:space="preserve">Algeria Algiers</w:t>
      </w:r>
      <w:r>
        <w:t xml:space="preserve">.</w:t>
      </w:r>
    </w:p>
    <w:p>
      <w:pPr>
        <w:numPr>
          <w:ilvl w:val="0"/>
          <w:numId w:val="1001"/>
        </w:numPr>
        <w:pStyle w:val="Compact"/>
      </w:pPr>
      <w:r>
        <w:rPr>
          <w:bCs/>
          <w:b/>
        </w:rPr>
        <w:t xml:space="preserve">Operational Audit:</w:t>
      </w:r>
      <w:r>
        <w:t xml:space="preserve"> </w:t>
      </w:r>
      <w:r>
        <w:t xml:space="preserve">Review of procurement processes, inventory management, and revenue recognition procedures to ensure alignment with best practices.</w:t>
      </w:r>
    </w:p>
    <w:p>
      <w:pPr>
        <w:numPr>
          <w:ilvl w:val="0"/>
          <w:numId w:val="1001"/>
        </w:numPr>
        <w:pStyle w:val="Compact"/>
      </w:pPr>
      <w:r>
        <w:rPr>
          <w:bCs/>
          <w:b/>
        </w:rPr>
        <w:t xml:space="preserve">Management Letter:</w:t>
      </w:r>
      <w:r>
        <w:t xml:space="preserve"> </w:t>
      </w:r>
      <w:r>
        <w:t xml:space="preserve">A detailed report outlining findings, risk assessments, and actionable recommendations for the Board of Directors.</w:t>
      </w:r>
    </w:p>
    <w:p>
      <w:pPr>
        <w:numPr>
          <w:ilvl w:val="0"/>
          <w:numId w:val="1001"/>
        </w:numPr>
        <w:pStyle w:val="Compact"/>
      </w:pPr>
      <w:r>
        <w:rPr>
          <w:bCs/>
          <w:b/>
        </w:rPr>
        <w:t xml:space="preserve">Post-Audit Support:</w:t>
      </w:r>
      <w:r>
        <w:t xml:space="preserve"> </w:t>
      </w:r>
      <w:r>
        <w:t xml:space="preserve">A 30-day consultation window following the issuance of the final</w:t>
      </w:r>
      <w:r>
        <w:t xml:space="preserve"> </w:t>
      </w:r>
      <w:r>
        <w:t xml:space="preserve">Auditor</w:t>
      </w:r>
      <w:r>
        <w:t xml:space="preserve"> </w:t>
      </w:r>
      <w:r>
        <w:t xml:space="preserve">report to address stakeholder queries and regulatory submissions.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Auditor Service</w:t>
            </w:r>
          </w:p>
        </w:tc>
        <w:tc>
          <w:tcPr/>
          <w:p>
            <w:pPr>
              <w:pStyle w:val="Compact"/>
              <w:jc w:val="left"/>
            </w:pPr>
            <w:r>
              <w:t xml:space="preserve">Duration</w:t>
            </w:r>
          </w:p>
        </w:tc>
        <w:tc>
          <w:tcPr/>
          <w:p>
            <w:pPr>
              <w:pStyle w:val="Compact"/>
              <w:jc w:val="left"/>
            </w:pPr>
            <w:r>
              <w:t xml:space="preserve">Unit Rate (DZD)</w:t>
            </w:r>
          </w:p>
        </w:tc>
        <w:tc>
          <w:tcPr/>
          <w:p>
            <w:pPr>
              <w:pStyle w:val="Compact"/>
              <w:jc w:val="left"/>
            </w:pPr>
            <w:r>
              <w:t xml:space="preserve">Total (DZD)</w:t>
            </w:r>
          </w:p>
        </w:tc>
      </w:tr>
      <w:tr>
        <w:tc>
          <w:tcPr/>
          <w:p>
            <w:pPr>
              <w:pStyle w:val="Compact"/>
              <w:jc w:val="left"/>
            </w:pPr>
            <w:r>
              <w:t xml:space="preserve">1</w:t>
            </w:r>
          </w:p>
        </w:tc>
        <w:tc>
          <w:tcPr/>
          <w:p>
            <w:pPr>
              <w:pStyle w:val="Compact"/>
              <w:jc w:val="left"/>
            </w:pPr>
            <w:r>
              <w:t xml:space="preserve">Lead Auditor – Financial Statement Audit (Senior Partner level)</w:t>
            </w:r>
          </w:p>
        </w:tc>
        <w:tc>
          <w:tcPr/>
          <w:p>
            <w:pPr>
              <w:pStyle w:val="Compact"/>
              <w:jc w:val="left"/>
            </w:pPr>
            <w:r>
              <w:t xml:space="preserve">25 days</w:t>
            </w:r>
          </w:p>
        </w:tc>
        <w:tc>
          <w:tcPr/>
          <w:p>
            <w:pPr>
              <w:pStyle w:val="Compact"/>
              <w:jc w:val="left"/>
            </w:pPr>
            <w:r>
              <w:t xml:space="preserve">45,000</w:t>
            </w:r>
          </w:p>
        </w:tc>
        <w:tc>
          <w:tcPr/>
          <w:p>
            <w:pPr>
              <w:pStyle w:val="Compact"/>
              <w:jc w:val="left"/>
            </w:pPr>
            <w:r>
              <w:t xml:space="preserve">1,125,000</w:t>
            </w:r>
          </w:p>
        </w:tc>
      </w:tr>
      <w:tr>
        <w:tc>
          <w:tcPr/>
          <w:p>
            <w:pPr>
              <w:pStyle w:val="Compact"/>
              <w:jc w:val="left"/>
            </w:pPr>
            <w:r>
              <w:t xml:space="preserve">2</w:t>
            </w:r>
          </w:p>
        </w:tc>
        <w:tc>
          <w:tcPr/>
          <w:p>
            <w:pPr>
              <w:pStyle w:val="Compact"/>
              <w:jc w:val="left"/>
            </w:pPr>
            <w:r>
              <w:t xml:space="preserve">Associate Auditor – Internal Controls &amp; Compliance Review</w:t>
            </w:r>
          </w:p>
        </w:tc>
        <w:tc>
          <w:tcPr/>
          <w:p>
            <w:pPr>
              <w:pStyle w:val="Compact"/>
              <w:jc w:val="left"/>
            </w:pPr>
            <w:r>
              <w:t xml:space="preserve">20 days</w:t>
            </w:r>
          </w:p>
        </w:tc>
        <w:tc>
          <w:tcPr/>
          <w:p>
            <w:pPr>
              <w:pStyle w:val="Compact"/>
              <w:jc w:val="left"/>
            </w:pPr>
            <w:r>
              <w:t xml:space="preserve">28,000</w:t>
            </w:r>
          </w:p>
        </w:tc>
        <w:tc>
          <w:tcPr/>
          <w:p>
            <w:pPr>
              <w:pStyle w:val="Compact"/>
              <w:jc w:val="left"/>
            </w:pPr>
            <w:r>
              <w:t xml:space="preserve">560,000</w:t>
            </w:r>
          </w:p>
        </w:tc>
      </w:tr>
      <w:tr>
        <w:tc>
          <w:tcPr/>
          <w:p>
            <w:pPr>
              <w:pStyle w:val="Compact"/>
              <w:jc w:val="left"/>
            </w:pPr>
            <w:r>
              <w:t xml:space="preserve">3</w:t>
            </w:r>
          </w:p>
        </w:tc>
        <w:tc>
          <w:tcPr/>
          <w:p>
            <w:pPr>
              <w:pStyle w:val="Compact"/>
              <w:jc w:val="left"/>
            </w:pPr>
            <w:r>
              <w:t xml:space="preserve">Junior Auditor – Operational Audit &amp; Data Verification</w:t>
            </w:r>
          </w:p>
        </w:tc>
        <w:tc>
          <w:tcPr/>
          <w:p>
            <w:pPr>
              <w:pStyle w:val="Compact"/>
              <w:jc w:val="left"/>
            </w:pPr>
            <w:r>
              <w:t xml:space="preserve">30 days</w:t>
            </w:r>
          </w:p>
        </w:tc>
        <w:tc>
          <w:tcPr/>
          <w:p>
            <w:pPr>
              <w:pStyle w:val="Compact"/>
              <w:jc w:val="left"/>
            </w:pPr>
            <w:r>
              <w:t xml:space="preserve">18,000</w:t>
            </w:r>
          </w:p>
        </w:tc>
        <w:tc>
          <w:tcPr/>
          <w:p>
            <w:pPr>
              <w:pStyle w:val="Compact"/>
              <w:jc w:val="left"/>
            </w:pPr>
            <w:r>
              <w:t xml:space="preserve">540,000</w:t>
            </w:r>
          </w:p>
        </w:tc>
      </w:tr>
      <w:tr>
        <w:tc>
          <w:tcPr/>
          <w:p>
            <w:pPr>
              <w:pStyle w:val="Compact"/>
              <w:jc w:val="left"/>
            </w:pPr>
            <w:r>
              <w:t xml:space="preserve">4</w:t>
            </w:r>
          </w:p>
        </w:tc>
        <w:tc>
          <w:tcPr/>
          <w:p>
            <w:pPr>
              <w:pStyle w:val="Compact"/>
              <w:jc w:val="left"/>
            </w:pPr>
            <w:r>
              <w:t xml:space="preserve">Specialist – Tax Compliance &amp; Regulatory Reporting (Algeria Algiers jurisdiction)</w:t>
            </w:r>
          </w:p>
        </w:tc>
        <w:tc>
          <w:tcPr/>
          <w:p>
            <w:pPr>
              <w:pStyle w:val="Compact"/>
              <w:jc w:val="left"/>
            </w:pPr>
            <w:r>
              <w:t xml:space="preserve">10 days</w:t>
            </w:r>
          </w:p>
        </w:tc>
        <w:tc>
          <w:tcPr/>
          <w:p>
            <w:pPr>
              <w:pStyle w:val="Compact"/>
              <w:jc w:val="left"/>
            </w:pPr>
            <w:r>
              <w:t xml:space="preserve">35,000</w:t>
            </w:r>
          </w:p>
        </w:tc>
        <w:tc>
          <w:tcPr/>
          <w:p>
            <w:pPr>
              <w:pStyle w:val="Compact"/>
              <w:jc w:val="left"/>
            </w:pPr>
            <w:r>
              <w:t xml:space="preserve">350,000</w:t>
            </w:r>
          </w:p>
        </w:tc>
      </w:tr>
      <w:tr>
        <w:tc>
          <w:tcPr/>
          <w:p>
            <w:pPr>
              <w:pStyle w:val="Compact"/>
              <w:jc w:val="left"/>
            </w:pPr>
            <w:r>
              <w:t xml:space="preserve">5</w:t>
            </w:r>
          </w:p>
        </w:tc>
        <w:tc>
          <w:tcPr/>
          <w:p>
            <w:pPr>
              <w:pStyle w:val="Compact"/>
              <w:jc w:val="left"/>
            </w:pPr>
            <w:r>
              <w:t xml:space="preserve">Travel, Accommodation &amp; Local Transportation within Algiers</w:t>
            </w:r>
          </w:p>
        </w:tc>
        <w:tc>
          <w:tcPr/>
          <w:p>
            <w:pPr>
              <w:pStyle w:val="Compact"/>
              <w:jc w:val="left"/>
            </w:pPr>
            <w:r>
              <w:t xml:space="preserve">45 days</w:t>
            </w:r>
          </w:p>
        </w:tc>
        <w:tc>
          <w:tcPr/>
          <w:p>
            <w:pPr>
              <w:pStyle w:val="Compact"/>
              <w:jc w:val="left"/>
            </w:pPr>
            <w:r>
              <w:t xml:space="preserve">8,500</w:t>
            </w:r>
          </w:p>
        </w:tc>
        <w:tc>
          <w:tcPr/>
          <w:p>
            <w:pPr>
              <w:pStyle w:val="Compact"/>
              <w:jc w:val="left"/>
            </w:pPr>
            <w:r>
              <w:t xml:space="preserve">382,500</w:t>
            </w:r>
          </w:p>
        </w:tc>
      </w:tr>
      <w:tr>
        <w:tc>
          <w:tcPr/>
          <w:p>
            <w:pPr>
              <w:pStyle w:val="Compact"/>
              <w:jc w:val="left"/>
            </w:pPr>
            <w:r>
              <w:t xml:space="preserve">6</w:t>
            </w:r>
          </w:p>
        </w:tc>
        <w:tc>
          <w:tcPr/>
          <w:p>
            <w:pPr>
              <w:pStyle w:val="Compact"/>
              <w:jc w:val="left"/>
            </w:pPr>
            <w:r>
              <w:t xml:space="preserve">Report Preparation, Translation (Arabic/French/English) &amp; Printing</w:t>
            </w:r>
          </w:p>
        </w:tc>
        <w:tc>
          <w:tcPr/>
          <w:p>
            <w:pPr>
              <w:pStyle w:val="Compact"/>
              <w:jc w:val="left"/>
            </w:pPr>
            <w:r>
              <w:t xml:space="preserve">5 days</w:t>
            </w:r>
          </w:p>
        </w:tc>
        <w:tc>
          <w:tcPr/>
          <w:p>
            <w:pPr>
              <w:pStyle w:val="Compact"/>
              <w:jc w:val="left"/>
            </w:pPr>
            <w:r>
              <w:t xml:space="preserve">12,000</w:t>
            </w:r>
          </w:p>
        </w:tc>
        <w:tc>
          <w:tcPr/>
          <w:p>
            <w:pPr>
              <w:pStyle w:val="Compact"/>
              <w:jc w:val="left"/>
            </w:pPr>
            <w:r>
              <w:t xml:space="preserve">60,000</w:t>
            </w:r>
          </w:p>
        </w:tc>
      </w:tr>
      <w:tr>
        <w:tc>
          <w:tcPr/>
          <w:p>
            <w:pPr>
              <w:pStyle w:val="Compact"/>
              <w:jc w:val="left"/>
            </w:pPr>
            <w:r>
              <w:t xml:space="preserve">7</w:t>
            </w:r>
          </w:p>
        </w:tc>
        <w:tc>
          <w:tcPr/>
          <w:p>
            <w:pPr>
              <w:pStyle w:val="Compact"/>
              <w:jc w:val="left"/>
            </w:pPr>
            <w:r>
              <w:t xml:space="preserve">Post-Audit Consultation &amp; Regulatory Filing Support</w:t>
            </w:r>
          </w:p>
        </w:tc>
        <w:tc>
          <w:tcPr/>
          <w:p>
            <w:pPr>
              <w:pStyle w:val="Compact"/>
              <w:jc w:val="left"/>
            </w:pPr>
            <w:r>
              <w:t xml:space="preserve">30 days</w:t>
            </w:r>
          </w:p>
        </w:tc>
        <w:tc>
          <w:tcPr/>
          <w:p>
            <w:pPr>
              <w:pStyle w:val="Compact"/>
              <w:jc w:val="left"/>
            </w:pPr>
            <w:r>
              <w:t xml:space="preserve">22,000</w:t>
            </w:r>
          </w:p>
        </w:tc>
        <w:tc>
          <w:tcPr/>
          <w:p>
            <w:pPr>
              <w:pStyle w:val="Compact"/>
              <w:jc w:val="left"/>
            </w:pPr>
            <w:r>
              <w:t xml:space="preserve">660,000</w:t>
            </w:r>
          </w:p>
        </w:tc>
      </w:tr>
      <w:tr>
        <w:tc>
          <w:tcPr>
            <w:gridSpan w:val="4"/>
          </w:tcPr>
          <w:p>
            <w:pPr>
              <w:pStyle w:val="Compact"/>
              <w:jc w:val="right"/>
            </w:pPr>
            <w:r>
              <w:t xml:space="preserve">Subtotal (DZD)</w:t>
            </w:r>
          </w:p>
        </w:tc>
        <w:tc>
          <w:tcPr/>
          <w:p>
            <w:pPr>
              <w:pStyle w:val="Compact"/>
              <w:jc w:val="left"/>
            </w:pPr>
            <w:r>
              <w:t xml:space="preserve">3,677,500</w:t>
            </w:r>
          </w:p>
        </w:tc>
      </w:tr>
      <w:tr>
        <w:tc>
          <w:tcPr>
            <w:gridSpan w:val="4"/>
          </w:tcPr>
          <w:p>
            <w:pPr>
              <w:pStyle w:val="Compact"/>
              <w:jc w:val="right"/>
            </w:pPr>
            <w:r>
              <w:t xml:space="preserve">VAT (19% – applicable in Algeria)</w:t>
            </w:r>
          </w:p>
        </w:tc>
        <w:tc>
          <w:tcPr/>
          <w:p>
            <w:pPr>
              <w:pStyle w:val="Compact"/>
              <w:jc w:val="left"/>
            </w:pPr>
            <w:r>
              <w:t xml:space="preserve">698,725</w:t>
            </w:r>
          </w:p>
        </w:tc>
      </w:tr>
      <w:tr>
        <w:tc>
          <w:tcPr>
            <w:gridSpan w:val="4"/>
          </w:tcPr>
          <w:p>
            <w:pPr>
              <w:pStyle w:val="Compact"/>
              <w:jc w:val="right"/>
            </w:pPr>
            <w:r>
              <w:t xml:space="preserve">GRAND TOTAL (DZD)</w:t>
            </w:r>
          </w:p>
        </w:tc>
        <w:tc>
          <w:tcPr/>
          <w:p>
            <w:pPr>
              <w:pStyle w:val="Compact"/>
              <w:jc w:val="left"/>
            </w:pPr>
            <w:r>
              <w:t xml:space="preserve">4,376,225</w:t>
            </w:r>
          </w:p>
        </w:tc>
      </w:tr>
    </w:tbl>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is valid for a period of thirty (30) calendar days from the date of issue. Beyond this period, the</w:t>
      </w:r>
      <w:r>
        <w:t xml:space="preserve"> </w:t>
      </w:r>
      <w:r>
        <w:t xml:space="preserve">Auditor</w:t>
      </w:r>
      <w:r>
        <w:t xml:space="preserve"> </w:t>
      </w:r>
      <w:r>
        <w:t xml:space="preserve">fees and associated costs may be subject to revision based on market conditions in</w:t>
      </w:r>
      <w:r>
        <w:t xml:space="preserve"> </w:t>
      </w:r>
      <w:r>
        <w:t xml:space="preserve">Algeria Algiers</w:t>
      </w:r>
      <w:r>
        <w:t xml:space="preserve">.</w:t>
      </w:r>
    </w:p>
    <w:p>
      <w:pPr>
        <w:pStyle w:val="BodyText"/>
      </w:pPr>
      <w:r>
        <w:rPr>
          <w:bCs/>
          <w:b/>
        </w:rPr>
        <w:t xml:space="preserve">4.2 Payment Terms:</w:t>
      </w:r>
      <w:r>
        <w:t xml:space="preserve"> </w:t>
      </w:r>
      <w:r>
        <w:t xml:space="preserve">Payment shall be made in three (3) installments: 40% upon signing the engagement letter, 40% upon completion of fieldwork, and 20% upon delivery of the final</w:t>
      </w:r>
      <w:r>
        <w:t xml:space="preserve"> </w:t>
      </w:r>
      <w:r>
        <w:t xml:space="preserve">Auditor</w:t>
      </w:r>
      <w:r>
        <w:t xml:space="preserve"> </w:t>
      </w:r>
      <w:r>
        <w:t xml:space="preserve">report. All payments are to be made in Algerian Dinars (DZD) via bank transfer to the account of Atlas Audit &amp; Advisory Partners, BNA Algiers branch.</w:t>
      </w:r>
    </w:p>
    <w:p>
      <w:pPr>
        <w:pStyle w:val="BodyText"/>
      </w:pPr>
      <w:r>
        <w:rPr>
          <w:bCs/>
          <w:b/>
        </w:rPr>
        <w:t xml:space="preserve">4.3 Confidentiality:</w:t>
      </w:r>
      <w:r>
        <w:t xml:space="preserve"> </w:t>
      </w:r>
      <w:r>
        <w:t xml:space="preserve">The</w:t>
      </w:r>
      <w:r>
        <w:t xml:space="preserve"> </w:t>
      </w:r>
      <w:r>
        <w:t xml:space="preserve">Auditor</w:t>
      </w:r>
      <w:r>
        <w:t xml:space="preserve"> </w:t>
      </w:r>
      <w:r>
        <w:t xml:space="preserve">team shall maintain strict confidentiality over all financial data, trade secrets, and proprietary information of the client in accordance with Algerian data protection regulations and professional ethics codes.</w:t>
      </w:r>
    </w:p>
    <w:p>
      <w:pPr>
        <w:pStyle w:val="BodyText"/>
      </w:pPr>
      <w:r>
        <w:rPr>
          <w:bCs/>
          <w:b/>
        </w:rPr>
        <w:t xml:space="preserve">4.4 Deliverables Timeline:</w:t>
      </w:r>
      <w:r>
        <w:t xml:space="preserve"> </w:t>
      </w:r>
      <w:r>
        <w:t xml:space="preserve">The complete</w:t>
      </w:r>
      <w:r>
        <w:t xml:space="preserve"> </w:t>
      </w:r>
      <w:r>
        <w:t xml:space="preserve">Auditor</w:t>
      </w:r>
      <w:r>
        <w:t xml:space="preserve"> </w:t>
      </w:r>
      <w:r>
        <w:t xml:space="preserve">report, including the Management Letter and all supporting schedules, shall be delivered within sixty (60) calendar days from the commencement date, subject to the timely availability of all required documentation from the client.</w:t>
      </w:r>
    </w:p>
    <w:p>
      <w:pPr>
        <w:pStyle w:val="BodyText"/>
      </w:pPr>
      <w:r>
        <w:rPr>
          <w:bCs/>
          <w:b/>
        </w:rPr>
        <w:t xml:space="preserve">4.5 Cancellation Policy:</w:t>
      </w:r>
      <w:r>
        <w:t xml:space="preserve"> </w:t>
      </w:r>
      <w:r>
        <w:t xml:space="preserve">Should the client cancel the engagement after fieldwork has commenced, a minimum of 50% of the total fees outlined in this</w:t>
      </w:r>
      <w:r>
        <w:t xml:space="preserve"> </w:t>
      </w:r>
      <w:r>
        <w:t xml:space="preserve">Quotation Estimate</w:t>
      </w:r>
      <w:r>
        <w:t xml:space="preserve"> </w:t>
      </w:r>
      <w:r>
        <w:t xml:space="preserve">shall remain payable.</w:t>
      </w:r>
    </w:p>
    <w:p>
      <w:pPr>
        <w:pStyle w:val="BodyText"/>
      </w:pPr>
      <w:r>
        <w:rPr>
          <w:bCs/>
          <w:b/>
        </w:rPr>
        <w:t xml:space="preserve">4.6 Governing Law:</w:t>
      </w:r>
      <w:r>
        <w:t xml:space="preserve"> </w:t>
      </w:r>
      <w:r>
        <w:t xml:space="preserve">This</w:t>
      </w:r>
      <w:r>
        <w:t xml:space="preserve"> </w:t>
      </w:r>
      <w:r>
        <w:t xml:space="preserve">Quotation Estimate</w:t>
      </w:r>
      <w:r>
        <w:t xml:space="preserve"> </w:t>
      </w:r>
      <w:r>
        <w:t xml:space="preserve">and the resulting engagement shall be governed by and interpreted in accordance with the laws of the People's Democratic Republic of</w:t>
      </w:r>
      <w:r>
        <w:t xml:space="preserve"> </w:t>
      </w:r>
      <w:r>
        <w:t xml:space="preserve">Algeria</w:t>
      </w:r>
      <w:r>
        <w:t xml:space="preserve">. Any disputes shall be resolved by the competent courts of</w:t>
      </w:r>
      <w:r>
        <w:t xml:space="preserve"> </w:t>
      </w:r>
      <w:r>
        <w:t xml:space="preserve">Algeria Algiers</w:t>
      </w:r>
      <w:r>
        <w:t xml:space="preserv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fees, and terms outlined herein for the engagement of the</w:t>
      </w:r>
      <w:r>
        <w:t xml:space="preserve"> </w:t>
      </w:r>
      <w:r>
        <w:t xml:space="preserve">Auditor</w:t>
      </w:r>
      <w:r>
        <w:t xml:space="preserve"> </w:t>
      </w:r>
      <w:r>
        <w:t xml:space="preserve">services in</w:t>
      </w:r>
      <w:r>
        <w:t xml:space="preserve"> </w:t>
      </w:r>
      <w:r>
        <w:t xml:space="preserve">Algeria Algiers</w:t>
      </w:r>
      <w:r>
        <w:t xml:space="preserve">.</w:t>
      </w:r>
    </w:p>
    <w:p>
      <w:pPr>
        <w:pStyle w:val="BodyText"/>
      </w:pPr>
      <w:r>
        <w:rPr>
          <w:bCs/>
          <w:b/>
        </w:rPr>
        <w:t xml:space="preserve">For Atlas Audit &amp; Advisory Partners</w:t>
      </w:r>
    </w:p>
    <w:p>
      <w:pPr>
        <w:pStyle w:val="BodyText"/>
      </w:pPr>
      <w:r>
        <w:t xml:space="preserve">Lead Auditor / Managing Partner</w:t>
      </w:r>
    </w:p>
    <w:p>
      <w:pPr>
        <w:pStyle w:val="BodyText"/>
      </w:pPr>
      <w:r>
        <w:t xml:space="preserve">Name: Dr. Amina Cherif</w:t>
      </w:r>
      <w:r>
        <w:br/>
      </w:r>
      <w:r>
        <w:t xml:space="preserve">Signature &amp; Company Seal</w:t>
      </w:r>
    </w:p>
    <w:p>
      <w:pPr>
        <w:pStyle w:val="BodyText"/>
      </w:pPr>
      <w:r>
        <w:rPr>
          <w:bCs/>
          <w:b/>
        </w:rPr>
        <w:t xml:space="preserve">For Société Algérienne de Distribution S.A.</w:t>
      </w:r>
    </w:p>
    <w:p>
      <w:pPr>
        <w:pStyle w:val="BodyText"/>
      </w:pPr>
      <w:r>
        <w:t xml:space="preserve">Authorized Signatory</w:t>
      </w:r>
    </w:p>
    <w:p>
      <w:pPr>
        <w:pStyle w:val="BodyText"/>
      </w:pPr>
      <w:r>
        <w:t xml:space="preserve">Name: Mr. Karim Benali</w:t>
      </w:r>
      <w:r>
        <w:br/>
      </w:r>
      <w:r>
        <w:t xml:space="preserve">Signature &amp; Company Seal</w:t>
      </w:r>
    </w:p>
    <w:p>
      <w:pPr>
        <w:pStyle w:val="BodyText"/>
      </w:pPr>
      <w:r>
        <w:t xml:space="preserve">This Quotation Estimate document was prepared by Atlas Audit &amp; Advisory Partners, a registered professional firm operating in Algeria Algiers. All fees are quoted in Algerian Dinars (DZD). This document is confidential and intended solely for the named recipient. Quotation Estimate No. QTE-2025-0847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Algeria Algiers</dc:title>
  <dc:creator/>
  <dc:language>en</dc:language>
  <cp:keywords/>
  <dcterms:created xsi:type="dcterms:W3CDTF">2026-10-10T01:45:16Z</dcterms:created>
  <dcterms:modified xsi:type="dcterms:W3CDTF">2026-10-10T01:45:16Z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