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quotation-estimate"/>
    <w:p>
      <w:pPr>
        <w:pStyle w:val="Heading1"/>
      </w:pPr>
      <w:r>
        <w:t xml:space="preserve">QUOTATION ESTIMATE</w:t>
      </w:r>
    </w:p>
    <w:p>
      <w:pPr>
        <w:pStyle w:val="FirstParagraph"/>
      </w:pPr>
      <w:r>
        <w:t xml:space="preserve">Professional Auditor Services — Argentina Buenos Aires</w:t>
      </w:r>
    </w:p>
    <w:p>
      <w:pPr>
        <w:pStyle w:val="BodyText"/>
      </w:pPr>
      <w:r>
        <w:t xml:space="preserve">Document Reference: QE-BA-2025-04782 | Issued in Buenos Aires, Argentina</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QE-BA-2025-04782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w:t>
            </w:r>
          </w:p>
        </w:tc>
        <w:tc>
          <w:tcPr/>
          <w:p>
            <w:pPr>
              <w:pStyle w:val="Compact"/>
              <w:jc w:val="left"/>
            </w:pPr>
            <w:r>
              <w:t xml:space="preserve">Currency</w:t>
            </w:r>
          </w:p>
        </w:tc>
        <w:tc>
          <w:tcPr/>
          <w:p>
            <w:pPr>
              <w:pStyle w:val="Compact"/>
              <w:jc w:val="left"/>
            </w:pPr>
            <w:r>
              <w:t xml:space="preserve">Argentine Peso (ARS) / US Dollar (USD)</w:t>
            </w:r>
          </w:p>
        </w:tc>
      </w:tr>
      <w:tr>
        <w:tc>
          <w:tcPr/>
          <w:p>
            <w:pPr>
              <w:pStyle w:val="Compact"/>
              <w:jc w:val="left"/>
            </w:pPr>
            <w:r>
              <w:t xml:space="preserve">Service Provider</w:t>
            </w:r>
          </w:p>
        </w:tc>
        <w:tc>
          <w:tcPr>
            <w:gridSpan w:val="3"/>
          </w:tcPr>
          <w:p>
            <w:pPr>
              <w:pStyle w:val="Compact"/>
              <w:jc w:val="left"/>
            </w:pPr>
            <w:r>
              <w:t xml:space="preserve">Andino Audit &amp; Advisory S.R.L. — Av. Corrientes 1250, Piso 14, C1043AAE Buenos Aires, Argentina</w:t>
            </w:r>
          </w:p>
        </w:tc>
      </w:tr>
      <w:tr>
        <w:tc>
          <w:tcPr/>
          <w:p>
            <w:pPr>
              <w:pStyle w:val="Compact"/>
              <w:jc w:val="left"/>
            </w:pPr>
            <w:r>
              <w:t xml:space="preserve">Client</w:t>
            </w:r>
          </w:p>
        </w:tc>
        <w:tc>
          <w:tcPr>
            <w:gridSpan w:val="3"/>
          </w:tcPr>
          <w:p>
            <w:pPr>
              <w:pStyle w:val="Compact"/>
              <w:jc w:val="left"/>
            </w:pPr>
            <w:r>
              <w:t xml:space="preserve">[Client Legal Name] — [Client Address], Buenos Aires, Argentina</w:t>
            </w:r>
          </w:p>
        </w:tc>
      </w:tr>
      <w:tr>
        <w:tc>
          <w:tcPr/>
          <w:p>
            <w:pPr>
              <w:pStyle w:val="Compact"/>
              <w:jc w:val="left"/>
            </w:pPr>
            <w:r>
              <w:t xml:space="preserve">CUIT (Provider)</w:t>
            </w:r>
          </w:p>
        </w:tc>
        <w:tc>
          <w:tcPr/>
          <w:p>
            <w:pPr>
              <w:pStyle w:val="Compact"/>
              <w:jc w:val="left"/>
            </w:pPr>
            <w:r>
              <w:t xml:space="preserve">30-71234567-8</w:t>
            </w:r>
          </w:p>
        </w:tc>
        <w:tc>
          <w:tcPr/>
          <w:p>
            <w:pPr>
              <w:pStyle w:val="Compact"/>
              <w:jc w:val="left"/>
            </w:pPr>
            <w:r>
              <w:t xml:space="preserve">CUIT (Client)</w:t>
            </w:r>
          </w:p>
        </w:tc>
        <w:tc>
          <w:tcPr/>
          <w:p>
            <w:pPr>
              <w:pStyle w:val="Compact"/>
              <w:jc w:val="left"/>
            </w:pPr>
            <w:r>
              <w:t xml:space="preserve">[Client CUIT Number]</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Andino Audit &amp; Advisory S.R.L. to provide the Client with a comprehensive and transparent breakdown of the professional fees, expenses, and conditions associated with the engagement of a certified</w:t>
      </w:r>
      <w:r>
        <w:t xml:space="preserve"> </w:t>
      </w:r>
      <w:r>
        <w:t xml:space="preserve">Auditor</w:t>
      </w:r>
      <w:r>
        <w:t xml:space="preserve"> </w:t>
      </w:r>
      <w:r>
        <w:t xml:space="preserve">to perform statutory and advisory audit services within the jurisdiction of</w:t>
      </w:r>
      <w:r>
        <w:t xml:space="preserve"> </w:t>
      </w:r>
      <w:r>
        <w:t xml:space="preserve">Argentina Buenos Aires</w:t>
      </w:r>
      <w:r>
        <w:t xml:space="preserve">. This document serves as a binding commercial proposal and does not constitute a final invoice. All figures presented herein are estimates based on the scope of work described below and are subject to the terms and conditions outlined in Section 6 of this</w:t>
      </w:r>
      <w:r>
        <w:t xml:space="preserve"> </w:t>
      </w:r>
      <w:r>
        <w:t xml:space="preserve">Quotation Estimate</w:t>
      </w:r>
      <w:r>
        <w:t xml:space="preserve">.</w:t>
      </w:r>
    </w:p>
    <w:bookmarkEnd w:id="21"/>
    <w:bookmarkStart w:id="22" w:name="scope-of-auditor-services"/>
    <w:p>
      <w:pPr>
        <w:pStyle w:val="Heading2"/>
      </w:pPr>
      <w:r>
        <w:t xml:space="preserve">2. Scope of Auditor Services</w:t>
      </w:r>
    </w:p>
    <w:p>
      <w:pPr>
        <w:pStyle w:val="FirstParagraph"/>
      </w:pPr>
      <w:r>
        <w:t xml:space="preserve">The</w:t>
      </w:r>
      <w:r>
        <w:t xml:space="preserve"> </w:t>
      </w:r>
      <w:r>
        <w:t xml:space="preserve">Auditor</w:t>
      </w:r>
      <w:r>
        <w:t xml:space="preserve"> </w:t>
      </w:r>
      <w:r>
        <w:t xml:space="preserve">engaged under this</w:t>
      </w:r>
      <w:r>
        <w:t xml:space="preserve"> </w:t>
      </w:r>
      <w:r>
        <w:t xml:space="preserve">Quotation Estimate</w:t>
      </w:r>
      <w:r>
        <w:t xml:space="preserve"> </w:t>
      </w:r>
      <w:r>
        <w:t xml:space="preserve">shall perform the following professional services in accordance with the Argentine General Accounting Standards (NIC/IFRS), the regulations of the Argentine Securities Commission (Comisión Nacional de Valores — CNV), and the applicable provisions of the Argentine Commercial Code (Código Comercial de la Nación) as enforced in the city of Buenos Aires:</w:t>
      </w:r>
    </w:p>
    <w:p>
      <w:pPr>
        <w:numPr>
          <w:ilvl w:val="0"/>
          <w:numId w:val="1001"/>
        </w:numPr>
        <w:pStyle w:val="Compact"/>
      </w:pPr>
      <w:r>
        <w:t xml:space="preserve">Annual statutory audit of the Client's general ledger, balance sheet, income statement, and cash flow statement for the fiscal year ending 31 December 2025.</w:t>
      </w:r>
    </w:p>
    <w:p>
      <w:pPr>
        <w:numPr>
          <w:ilvl w:val="0"/>
          <w:numId w:val="1001"/>
        </w:numPr>
        <w:pStyle w:val="Compact"/>
      </w:pPr>
      <w:r>
        <w:t xml:space="preserve">Review of internal control systems and issuance of a management letter identifying material weaknesses in the Client's financial reporting processes.</w:t>
      </w:r>
    </w:p>
    <w:p>
      <w:pPr>
        <w:numPr>
          <w:ilvl w:val="0"/>
          <w:numId w:val="1001"/>
        </w:numPr>
        <w:pStyle w:val="Compact"/>
      </w:pPr>
      <w:r>
        <w:t xml:space="preserve">Verification of compliance with Argentine tax obligations administered by the Federal Administration of Public Revenue (AFIP), including IVA, Ganancias, and Ingresos Brutos filings relevant to operations in Buenos Aires.</w:t>
      </w:r>
    </w:p>
    <w:p>
      <w:pPr>
        <w:numPr>
          <w:ilvl w:val="0"/>
          <w:numId w:val="1001"/>
        </w:numPr>
        <w:pStyle w:val="Compact"/>
      </w:pPr>
      <w:r>
        <w:t xml:space="preserve">Due diligence support for potential financing arrangements, including verification of asset valuations and contingent liabilities.</w:t>
      </w:r>
    </w:p>
    <w:p>
      <w:pPr>
        <w:numPr>
          <w:ilvl w:val="0"/>
          <w:numId w:val="1001"/>
        </w:numPr>
        <w:pStyle w:val="Compact"/>
      </w:pPr>
      <w:r>
        <w:t xml:space="preserve">Preparation of the Auditor's Report (Informe del Auditor) in Spanish, as required by Argentine corporate law for submission to the shareholders' assembly and the Public Registry of Commerce (Registro Público de Comercio) in Buenos Aires.</w:t>
      </w:r>
    </w:p>
    <w:bookmarkEnd w:id="22"/>
    <w:bookmarkStart w:id="23" w:name="fee-schedule-and-cost-breakdown"/>
    <w:p>
      <w:pPr>
        <w:pStyle w:val="Heading2"/>
      </w:pPr>
      <w:r>
        <w:t xml:space="preserve">3. Fee Schedule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Professional Hours</w:t>
            </w:r>
          </w:p>
        </w:tc>
        <w:tc>
          <w:tcPr/>
          <w:p>
            <w:pPr>
              <w:pStyle w:val="Compact"/>
              <w:jc w:val="left"/>
            </w:pPr>
            <w:r>
              <w:t xml:space="preserve">Rate (ARS)</w:t>
            </w:r>
          </w:p>
        </w:tc>
        <w:tc>
          <w:tcPr/>
          <w:p>
            <w:pPr>
              <w:pStyle w:val="Compact"/>
              <w:jc w:val="left"/>
            </w:pPr>
            <w:r>
              <w:t xml:space="preserve">Subtotal (ARS)</w:t>
            </w:r>
          </w:p>
        </w:tc>
      </w:tr>
      <w:tr>
        <w:tc>
          <w:tcPr/>
          <w:p>
            <w:pPr>
              <w:pStyle w:val="Compact"/>
              <w:jc w:val="left"/>
            </w:pPr>
            <w:r>
              <w:t xml:space="preserve">1</w:t>
            </w:r>
          </w:p>
        </w:tc>
        <w:tc>
          <w:tcPr/>
          <w:p>
            <w:pPr>
              <w:pStyle w:val="Compact"/>
              <w:jc w:val="left"/>
            </w:pPr>
            <w:r>
              <w:t xml:space="preserve">Planning and risk assessment phase — initial meetings in Buenos Aires office, review of prior-year Auditor's workpapers, and development of the audit plan.</w:t>
            </w:r>
          </w:p>
        </w:tc>
        <w:tc>
          <w:tcPr/>
          <w:p>
            <w:pPr>
              <w:pStyle w:val="Compact"/>
              <w:jc w:val="left"/>
            </w:pPr>
            <w:r>
              <w:t xml:space="preserve">40</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2</w:t>
            </w:r>
          </w:p>
        </w:tc>
        <w:tc>
          <w:tcPr/>
          <w:p>
            <w:pPr>
              <w:pStyle w:val="Compact"/>
              <w:jc w:val="left"/>
            </w:pPr>
            <w:r>
              <w:t xml:space="preserve">Fieldwork — substantive testing of transactions, physical inventory observation at Client's Buenos Aires warehouse, confirmation of receivables and payables, and analytical procedures.</w:t>
            </w:r>
          </w:p>
        </w:tc>
        <w:tc>
          <w:tcPr/>
          <w:p>
            <w:pPr>
              <w:pStyle w:val="Compact"/>
              <w:jc w:val="left"/>
            </w:pPr>
            <w:r>
              <w:t xml:space="preserve">120</w:t>
            </w:r>
          </w:p>
        </w:tc>
        <w:tc>
          <w:tcPr/>
          <w:p>
            <w:pPr>
              <w:pStyle w:val="Compact"/>
              <w:jc w:val="left"/>
            </w:pPr>
            <w:r>
              <w:t xml:space="preserve">$16,800</w:t>
            </w:r>
          </w:p>
        </w:tc>
        <w:tc>
          <w:tcPr/>
          <w:p>
            <w:pPr>
              <w:pStyle w:val="Compact"/>
              <w:jc w:val="left"/>
            </w:pPr>
            <w:r>
              <w:t xml:space="preserve">$2,016,000</w:t>
            </w:r>
          </w:p>
        </w:tc>
      </w:tr>
      <w:tr>
        <w:tc>
          <w:tcPr/>
          <w:p>
            <w:pPr>
              <w:pStyle w:val="Compact"/>
              <w:jc w:val="left"/>
            </w:pPr>
            <w:r>
              <w:t xml:space="preserve">3</w:t>
            </w:r>
          </w:p>
        </w:tc>
        <w:tc>
          <w:tcPr/>
          <w:p>
            <w:pPr>
              <w:pStyle w:val="Compact"/>
              <w:jc w:val="left"/>
            </w:pPr>
            <w:r>
              <w:t xml:space="preserve">Tax compliance review — reconciliation of AFIP filings, verification of IVA credit notes, and assessment of Ingresos Brutos obligations specific to the City of Buenos Aires (CABA).</w:t>
            </w:r>
          </w:p>
        </w:tc>
        <w:tc>
          <w:tcPr/>
          <w:p>
            <w:pPr>
              <w:pStyle w:val="Compact"/>
              <w:jc w:val="left"/>
            </w:pPr>
            <w:r>
              <w:t xml:space="preserve">35</w:t>
            </w:r>
          </w:p>
        </w:tc>
        <w:tc>
          <w:tcPr/>
          <w:p>
            <w:pPr>
              <w:pStyle w:val="Compact"/>
              <w:jc w:val="left"/>
            </w:pPr>
            <w:r>
              <w:t xml:space="preserve">$17,200</w:t>
            </w:r>
          </w:p>
        </w:tc>
        <w:tc>
          <w:tcPr/>
          <w:p>
            <w:pPr>
              <w:pStyle w:val="Compact"/>
              <w:jc w:val="left"/>
            </w:pPr>
            <w:r>
              <w:t xml:space="preserve">$602,000</w:t>
            </w:r>
          </w:p>
        </w:tc>
      </w:tr>
      <w:tr>
        <w:tc>
          <w:tcPr/>
          <w:p>
            <w:pPr>
              <w:pStyle w:val="Compact"/>
              <w:jc w:val="left"/>
            </w:pPr>
            <w:r>
              <w:t xml:space="preserve">4</w:t>
            </w:r>
          </w:p>
        </w:tc>
        <w:tc>
          <w:tcPr/>
          <w:p>
            <w:pPr>
              <w:pStyle w:val="Compact"/>
              <w:jc w:val="left"/>
            </w:pPr>
            <w:r>
              <w:t xml:space="preserve">Report drafting and finalization — preparation of the Auditor's Report, management letter, and supporting schedules in compliance with Argentine regulatory requirements.</w:t>
            </w:r>
          </w:p>
        </w:tc>
        <w:tc>
          <w:tcPr/>
          <w:p>
            <w:pPr>
              <w:pStyle w:val="Compact"/>
              <w:jc w:val="left"/>
            </w:pPr>
            <w:r>
              <w:t xml:space="preserve">30</w:t>
            </w:r>
          </w:p>
        </w:tc>
        <w:tc>
          <w:tcPr/>
          <w:p>
            <w:pPr>
              <w:pStyle w:val="Compact"/>
              <w:jc w:val="left"/>
            </w:pPr>
            <w:r>
              <w:t xml:space="preserve">$19,000</w:t>
            </w:r>
          </w:p>
        </w:tc>
        <w:tc>
          <w:tcPr/>
          <w:p>
            <w:pPr>
              <w:pStyle w:val="Compact"/>
              <w:jc w:val="left"/>
            </w:pPr>
            <w:r>
              <w:t xml:space="preserve">$570,000</w:t>
            </w:r>
          </w:p>
        </w:tc>
      </w:tr>
      <w:tr>
        <w:tc>
          <w:tcPr/>
          <w:p>
            <w:pPr>
              <w:pStyle w:val="Compact"/>
              <w:jc w:val="left"/>
            </w:pPr>
            <w:r>
              <w:t xml:space="preserve">5</w:t>
            </w:r>
          </w:p>
        </w:tc>
        <w:tc>
          <w:tcPr/>
          <w:p>
            <w:pPr>
              <w:pStyle w:val="Compact"/>
              <w:jc w:val="left"/>
            </w:pPr>
            <w:r>
              <w:t xml:space="preserve">Travel and local transportation within Buenos Aires metropolitan area (fieldwork visits to Client premises, AFIP offices, and third-party confirmations).</w:t>
            </w:r>
          </w:p>
        </w:tc>
        <w:tc>
          <w:tcPr/>
          <w:p>
            <w:pPr>
              <w:pStyle w:val="Compact"/>
              <w:jc w:val="left"/>
            </w:pPr>
            <w:r>
              <w:t xml:space="preserve">—</w:t>
            </w:r>
          </w:p>
        </w:tc>
        <w:tc>
          <w:tcPr/>
          <w:p>
            <w:pPr>
              <w:pStyle w:val="Compact"/>
              <w:jc w:val="left"/>
            </w:pPr>
            <w:r>
              <w:t xml:space="preserve">—</w:t>
            </w:r>
          </w:p>
        </w:tc>
        <w:tc>
          <w:tcPr/>
          <w:p>
            <w:pPr>
              <w:pStyle w:val="Compact"/>
              <w:jc w:val="left"/>
            </w:pPr>
            <w:r>
              <w:t xml:space="preserve">$185,000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Fees):</w:t>
            </w:r>
          </w:p>
        </w:tc>
        <w:tc>
          <w:tcPr/>
          <w:p>
            <w:pPr>
              <w:pStyle w:val="Compact"/>
              <w:jc w:val="left"/>
            </w:pPr>
            <w:r>
              <w:t xml:space="preserve">ARS 3,928,000</w:t>
            </w:r>
          </w:p>
        </w:tc>
      </w:tr>
      <w:tr>
        <w:tc>
          <w:tcPr/>
          <w:p>
            <w:pPr>
              <w:pStyle w:val="Compact"/>
              <w:jc w:val="left"/>
            </w:pPr>
            <w:r>
              <w:t xml:space="preserve">Travel and Local Expenses:</w:t>
            </w:r>
          </w:p>
        </w:tc>
        <w:tc>
          <w:tcPr/>
          <w:p>
            <w:pPr>
              <w:pStyle w:val="Compact"/>
              <w:jc w:val="left"/>
            </w:pPr>
            <w:r>
              <w:t xml:space="preserve">ARS 185,000</w:t>
            </w:r>
          </w:p>
        </w:tc>
      </w:tr>
      <w:tr>
        <w:tc>
          <w:tcPr/>
          <w:p>
            <w:pPr>
              <w:pStyle w:val="Compact"/>
              <w:jc w:val="left"/>
            </w:pPr>
            <w:r>
              <w:t xml:space="preserve">IVA (21% — Argentine Value Added Tax):</w:t>
            </w:r>
          </w:p>
        </w:tc>
        <w:tc>
          <w:tcPr/>
          <w:p>
            <w:pPr>
              <w:pStyle w:val="Compact"/>
              <w:jc w:val="left"/>
            </w:pPr>
            <w:r>
              <w:t xml:space="preserve">ARS 868,170</w:t>
            </w:r>
          </w:p>
        </w:tc>
      </w:tr>
      <w:tr>
        <w:tc>
          <w:tcPr/>
          <w:p>
            <w:pPr>
              <w:pStyle w:val="Compact"/>
              <w:jc w:val="left"/>
            </w:pPr>
            <w:r>
              <w:t xml:space="preserve">TOTAL ESTIMATED AMOUNT:</w:t>
            </w:r>
          </w:p>
        </w:tc>
        <w:tc>
          <w:tcPr/>
          <w:p>
            <w:pPr>
              <w:pStyle w:val="Compact"/>
              <w:jc w:val="left"/>
            </w:pPr>
            <w:r>
              <w:t xml:space="preserve">ARS 4,981,170</w:t>
            </w:r>
          </w:p>
        </w:tc>
      </w:tr>
      <w:tr>
        <w:tc>
          <w:tcPr/>
          <w:p>
            <w:pPr>
              <w:pStyle w:val="Compact"/>
              <w:jc w:val="left"/>
            </w:pPr>
            <w:r>
              <w:t xml:space="preserve">Approximate USD equivalent (at ARS 1,250/USD):</w:t>
            </w:r>
          </w:p>
        </w:tc>
        <w:tc>
          <w:tcPr/>
          <w:p>
            <w:pPr>
              <w:pStyle w:val="Compact"/>
              <w:jc w:val="left"/>
            </w:pPr>
            <w:r>
              <w:t xml:space="preserve">USD 3,984.94</w:t>
            </w:r>
          </w:p>
        </w:tc>
      </w:tr>
    </w:tbl>
    <w:bookmarkEnd w:id="23"/>
    <w:bookmarkStart w:id="24" w:name="payment-terms"/>
    <w:p>
      <w:pPr>
        <w:pStyle w:val="Heading2"/>
      </w:pPr>
      <w:r>
        <w:t xml:space="preserve">4. Payment Terms</w:t>
      </w:r>
    </w:p>
    <w:p>
      <w:pPr>
        <w:pStyle w:val="FirstParagraph"/>
      </w:pPr>
      <w:r>
        <w:t xml:space="preserve">Payment for the services described in this</w:t>
      </w:r>
      <w:r>
        <w:t xml:space="preserve"> </w:t>
      </w:r>
      <w:r>
        <w:t xml:space="preserve">Quotation Estimate</w:t>
      </w:r>
      <w:r>
        <w:t xml:space="preserve"> </w:t>
      </w:r>
      <w:r>
        <w:t xml:space="preserve">shall be made in three installments: 40% upon execution of the engagement letter, 40% upon completion of the fieldwork phase, and 20% upon delivery of the final Auditor's Report. All payments shall be made in Argentine Pesos via electronic transfer (transferencia bancaria) to the account of Andino Audit &amp; Advisory S.R.L. at Banco de la Nación Argentina, Sucursal Buenos Aires. Late payments shall accrue interest at the rate established by the Argentine Central Bank (BCRA) for overdue commercial obligations.</w:t>
      </w:r>
    </w:p>
    <w:bookmarkEnd w:id="24"/>
    <w:bookmarkStart w:id="25" w:name="assumptions-and-exclusions"/>
    <w:p>
      <w:pPr>
        <w:pStyle w:val="Heading2"/>
      </w:pPr>
      <w:r>
        <w:t xml:space="preserve">5. Assumptions and Exclusions</w:t>
      </w:r>
    </w:p>
    <w:p>
      <w:pPr>
        <w:pStyle w:val="FirstParagraph"/>
      </w:pPr>
      <w:r>
        <w:t xml:space="preserve">This</w:t>
      </w:r>
      <w:r>
        <w:t xml:space="preserve"> </w:t>
      </w:r>
      <w:r>
        <w:t xml:space="preserve">Quotation Estimate</w:t>
      </w:r>
      <w:r>
        <w:t xml:space="preserve"> </w:t>
      </w:r>
      <w:r>
        <w:t xml:space="preserve">assumes that the Client will provide timely access to all financial records, physical assets, and personnel necessary for the</w:t>
      </w:r>
      <w:r>
        <w:t xml:space="preserve"> </w:t>
      </w:r>
      <w:r>
        <w:t xml:space="preserve">Auditor</w:t>
      </w:r>
      <w:r>
        <w:t xml:space="preserve"> </w:t>
      </w:r>
      <w:r>
        <w:t xml:space="preserve">to perform the engagement in Buenos Aires. The following are excluded from the estimated fees: legal opinions, forensic accounting investigations, translation of documents into languages other than Spanish, and any additional procedures arising from findings of material misstatement or fraud that were not identified during the planning phase. Should such additional work be required, a supplementary</w:t>
      </w:r>
      <w:r>
        <w:t xml:space="preserve"> </w:t>
      </w:r>
      <w:r>
        <w:t xml:space="preserve">Quotation Estimate</w:t>
      </w:r>
      <w:r>
        <w:t xml:space="preserve"> </w:t>
      </w:r>
      <w:r>
        <w:t xml:space="preserve">shall be issued prior to commencement of the additional procedures.</w:t>
      </w:r>
    </w:p>
    <w:bookmarkEnd w:id="25"/>
    <w:bookmarkStart w:id="26" w:name="terms-and-conditions"/>
    <w:p>
      <w:pPr>
        <w:pStyle w:val="Heading2"/>
      </w:pPr>
      <w:r>
        <w:t xml:space="preserve">6.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Upon expiration, all rates and conditions must be renegotiated in writing.</w:t>
      </w:r>
    </w:p>
    <w:p>
      <w:pPr>
        <w:numPr>
          <w:ilvl w:val="0"/>
          <w:numId w:val="1002"/>
        </w:numPr>
        <w:pStyle w:val="Compact"/>
      </w:pPr>
      <w:r>
        <w:t xml:space="preserve">The</w:t>
      </w:r>
      <w:r>
        <w:t xml:space="preserve"> </w:t>
      </w:r>
      <w:r>
        <w:t xml:space="preserve">Auditor</w:t>
      </w:r>
      <w:r>
        <w:t xml:space="preserve"> </w:t>
      </w:r>
      <w:r>
        <w:t xml:space="preserve">shall maintain strict professional independence and confidentiality in accordance with the Code of Ethics of the Argentine Institute of Public Accountants (Instituto Argentino de Contadores — IAC) and the regulations applicable in Buenos Aires.</w:t>
      </w:r>
    </w:p>
    <w:p>
      <w:pPr>
        <w:numPr>
          <w:ilvl w:val="0"/>
          <w:numId w:val="1002"/>
        </w:numPr>
        <w:pStyle w:val="Compact"/>
      </w:pPr>
      <w:r>
        <w:t xml:space="preserve">All work products, including the Auditor's Report and supporting documentation, shall be delivered in both physical and electronic (PDF) format. The official report for regulatory filing purposes shall be in Spanish.</w:t>
      </w:r>
    </w:p>
    <w:p>
      <w:pPr>
        <w:numPr>
          <w:ilvl w:val="0"/>
          <w:numId w:val="1002"/>
        </w:numPr>
        <w:pStyle w:val="Compact"/>
      </w:pPr>
      <w:r>
        <w:t xml:space="preserve">Disputes arising from this engagement shall be resolved through binding arbitration in the city of Buenos Aires, Argentina, in accordance with the rules of the Argentine Chamber of Commerce (Cámara de Comercio Argentina).</w:t>
      </w:r>
    </w:p>
    <w:p>
      <w:pPr>
        <w:numPr>
          <w:ilvl w:val="0"/>
          <w:numId w:val="1002"/>
        </w:numPr>
        <w:pStyle w:val="Compact"/>
      </w:pPr>
      <w:r>
        <w:t xml:space="preserve">This</w:t>
      </w:r>
      <w:r>
        <w:t xml:space="preserve"> </w:t>
      </w:r>
      <w:r>
        <w:t xml:space="preserve">Quotation Estimate</w:t>
      </w:r>
      <w:r>
        <w:t xml:space="preserve"> </w:t>
      </w:r>
      <w:r>
        <w:t xml:space="preserve">is governed by the laws of the Argentine Republic, specifically the Civil and Commercial Code (Código Civil y Comercial de la Nación) and the Commercial Code, as applied in the jurisdiction of Buenos Aires.</w:t>
      </w:r>
    </w:p>
    <w:p>
      <w:pPr>
        <w:numPr>
          <w:ilvl w:val="0"/>
          <w:numId w:val="1002"/>
        </w:numPr>
        <w:pStyle w:val="Compact"/>
      </w:pPr>
      <w:r>
        <w:t xml:space="preserve">The</w:t>
      </w:r>
      <w:r>
        <w:t xml:space="preserve"> </w:t>
      </w:r>
      <w:r>
        <w:t xml:space="preserve">Auditor</w:t>
      </w:r>
      <w:r>
        <w:t xml:space="preserve"> </w:t>
      </w:r>
      <w:r>
        <w:t xml:space="preserve">shall carry professional liability insurance with a minimum coverage of ARS 50,000,000, as required by the IAC for audit engagements conducted in Argentina.</w:t>
      </w:r>
    </w:p>
    <w:bookmarkEnd w:id="26"/>
    <w:bookmarkStart w:id="27" w:name="acceptance"/>
    <w:p>
      <w:pPr>
        <w:pStyle w:val="Heading2"/>
      </w:pPr>
      <w:r>
        <w:t xml:space="preserve">7.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scope, fees, and terms set forth herein for the engagement of the</w:t>
      </w:r>
      <w:r>
        <w:t xml:space="preserve"> </w:t>
      </w:r>
      <w:r>
        <w:t xml:space="preserve">Auditor</w:t>
      </w:r>
      <w:r>
        <w:t xml:space="preserve"> </w:t>
      </w:r>
      <w:r>
        <w:t xml:space="preserve">in</w:t>
      </w:r>
      <w:r>
        <w:t xml:space="preserve"> </w:t>
      </w:r>
      <w:r>
        <w:t xml:space="preserve">Argentina Buenos Aires</w:t>
      </w:r>
      <w:r>
        <w:t xml:space="preserve">. Upon acceptance, a formal Engagement Letter shall be executed within five (5) business days.</w:t>
      </w:r>
    </w:p>
    <w:p>
      <w:pPr>
        <w:pStyle w:val="BodyText"/>
      </w:pPr>
      <w:r>
        <w:rPr>
          <w:bCs/>
          <w:b/>
        </w:rPr>
        <w:t xml:space="preserve">For Andino Audit &amp; Advisory S.R.L.</w:t>
      </w:r>
      <w:r>
        <w:br/>
      </w:r>
      <w:r>
        <w:t xml:space="preserve">[Name of Lead Auditor]</w:t>
      </w:r>
      <w:r>
        <w:br/>
      </w:r>
      <w:r>
        <w:t xml:space="preserve">Certified Public Accountant (CPA) — IAC</w:t>
      </w:r>
      <w:r>
        <w:br/>
      </w:r>
      <w:r>
        <w:t xml:space="preserve">Buenos Aires, Argentina</w:t>
      </w:r>
      <w:r>
        <w:br/>
      </w:r>
      <w:r>
        <w:t xml:space="preserve">Date: _______________</w:t>
      </w:r>
    </w:p>
    <w:p>
      <w:pPr>
        <w:pStyle w:val="BodyText"/>
      </w:pPr>
      <w:r>
        <w:rPr>
          <w:bCs/>
          <w:b/>
        </w:rPr>
        <w:t xml:space="preserve">For the Client</w:t>
      </w:r>
      <w:r>
        <w:br/>
      </w:r>
      <w:r>
        <w:t xml:space="preserve">[Authorized Representative Name]</w:t>
      </w:r>
      <w:r>
        <w:br/>
      </w:r>
      <w:r>
        <w:t xml:space="preserve">[Title / Position]</w:t>
      </w:r>
      <w:r>
        <w:br/>
      </w:r>
      <w:r>
        <w:t xml:space="preserve">Buenos Aires, Argentina</w:t>
      </w:r>
      <w:r>
        <w:br/>
      </w:r>
      <w:r>
        <w:t xml:space="preserve">Date: _______________</w:t>
      </w:r>
    </w:p>
    <w:p>
      <w:pPr>
        <w:pStyle w:val="BodyText"/>
      </w:pPr>
      <w:r>
        <w:t xml:space="preserve">This Quotation Estimate was prepared and issued in Buenos Aires, Argentina. All references to Argentine regulatory bodies, tax authorities, and legal frameworks pertain to the jurisdiction of the City of Buenos Aires (CABA) and the Province of Buenos Aires. This document is confidential and intended solely for the named Client. Unauthorized reproduction or distribution is prohibited. © 2025 Andino Audit &amp; Advisory S.R.L.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Argentina Buenos Aires</dc:title>
  <dc:creator/>
  <dc:language>en</dc:language>
  <cp:keywords/>
  <dcterms:created xsi:type="dcterms:W3CDTF">2026-10-10T01:06:13Z</dcterms:created>
  <dcterms:modified xsi:type="dcterms:W3CDTF">2026-10-10T01:06:13Z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