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Auditor Services</w:t>
      </w:r>
      <w:r>
        <w:t xml:space="preserve"> </w:t>
      </w:r>
      <w:r>
        <w:t xml:space="preserve">| Australia Melbourne</w:t>
      </w:r>
    </w:p>
    <w:p>
      <w:pPr>
        <w:pStyle w:val="BodyText"/>
      </w:pPr>
      <w:r>
        <w:t xml:space="preserve">Professional Financial Audit &amp; Compliance Solutions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QTE-AUD-MEL-2025-0472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Meridian Audit &amp; Advisory Partners Pty Ltd, Level 12, 333 Collins Street, Melbourne VIC 3000, Australia</w:t>
            </w:r>
          </w:p>
        </w:tc>
      </w:tr>
      <w:tr>
        <w:tc>
          <w:tcPr/>
          <w:p>
            <w:pPr>
              <w:pStyle w:val="Compact"/>
              <w:jc w:val="left"/>
            </w:pPr>
            <w:r>
              <w:t xml:space="preserve">Prepared For</w:t>
            </w:r>
          </w:p>
        </w:tc>
        <w:tc>
          <w:tcPr/>
          <w:p>
            <w:pPr>
              <w:pStyle w:val="Compact"/>
              <w:jc w:val="left"/>
            </w:pPr>
            <w:r>
              <w:t xml:space="preserve">Harbourline Manufacturing Group Ltd, 48 Swanston Street, Melbourne VIC 3000, Australia</w:t>
            </w:r>
          </w:p>
        </w:tc>
      </w:tr>
      <w:tr>
        <w:tc>
          <w:tcPr/>
          <w:p>
            <w:pPr>
              <w:pStyle w:val="Compact"/>
              <w:jc w:val="left"/>
            </w:pPr>
            <w:r>
              <w:t xml:space="preserve">Engagement Type</w:t>
            </w:r>
          </w:p>
        </w:tc>
        <w:tc>
          <w:tcPr/>
          <w:p>
            <w:pPr>
              <w:pStyle w:val="Compact"/>
              <w:jc w:val="left"/>
            </w:pPr>
            <w:r>
              <w:t xml:space="preserve">Annual Statutory Financial Audit – FY2024/2025</w:t>
            </w:r>
          </w:p>
        </w:tc>
      </w:tr>
      <w:tr>
        <w:tc>
          <w:tcPr/>
          <w:p>
            <w:pPr>
              <w:pStyle w:val="Compact"/>
              <w:jc w:val="left"/>
            </w:pPr>
            <w:r>
              <w:t xml:space="preserve">Applicable Standards</w:t>
            </w:r>
          </w:p>
        </w:tc>
        <w:tc>
          <w:tcPr/>
          <w:p>
            <w:pPr>
              <w:pStyle w:val="Compact"/>
              <w:jc w:val="left"/>
            </w:pPr>
            <w:r>
              <w:t xml:space="preserve">Australian Auditing Standards (AAS), ASIC Regulations, and the Corporations Act 2001 (Cth)</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Audit &amp; Advisory Partners Pty Ltd (hereinafter referred to as "the Auditor") in response to the formal request submitted by Harbourline Manufacturing Group Ltd for the provision of independent financial audit services for the financial year ending 30 June 2025. This document serves as a comprehensive Quotation Estimate outlining the full scope of Auditor engagement, the associated professional fees, and the terms governing the delivery of services within the Australia Melbourne metropolitan region and its surrounding jurisdictions.</w:t>
      </w:r>
    </w:p>
    <w:p>
      <w:pPr>
        <w:pStyle w:val="BodyText"/>
      </w:pPr>
      <w:r>
        <w:t xml:space="preserve">As a registered Auditor firm operating under the Australian Securities and Investments Commission (ASIC) and the Australian Charities and Not-for-profits Commission (ACNC), we are committed to delivering the highest standard of audit quality in accordance with the Australian Auditing Standards Board (AUASB) framework. This Quotation Estimate reflects our professional assessment of the resources, time, and expertise required to complete the Auditor engagement satisfactorily.</w:t>
      </w:r>
    </w:p>
    <w:bookmarkEnd w:id="21"/>
    <w:bookmarkStart w:id="22" w:name="scope-of-auditor-services"/>
    <w:p>
      <w:pPr>
        <w:pStyle w:val="Heading2"/>
      </w:pPr>
      <w:r>
        <w:t xml:space="preserve">2. Scope of Auditor Services</w:t>
      </w:r>
    </w:p>
    <w:p>
      <w:pPr>
        <w:pStyle w:val="FirstParagraph"/>
      </w:pPr>
      <w:r>
        <w:t xml:space="preserve">The Auditor engagement as detailed in this Quotation Estimate encompasses the following professional services to be delivered in Australia Melbourne:</w:t>
      </w:r>
    </w:p>
    <w:p>
      <w:pPr>
        <w:numPr>
          <w:ilvl w:val="0"/>
          <w:numId w:val="1001"/>
        </w:numPr>
        <w:pStyle w:val="Compact"/>
      </w:pPr>
      <w:r>
        <w:rPr>
          <w:bCs/>
          <w:b/>
        </w:rPr>
        <w:t xml:space="preserve">Statutory Financial Audit:</w:t>
      </w:r>
      <w:r>
        <w:t xml:space="preserve"> </w:t>
      </w:r>
      <w:r>
        <w:t xml:space="preserve">Full independent audit of the general purpose financial statements, including the statement of financial position, statement of profit or loss and other comprehensive income, statement of changes in equity, and statement of cash flows, prepared in accordance with Australian Accounting Standards (AASB).</w:t>
      </w:r>
    </w:p>
    <w:p>
      <w:pPr>
        <w:numPr>
          <w:ilvl w:val="0"/>
          <w:numId w:val="1001"/>
        </w:numPr>
        <w:pStyle w:val="Compact"/>
      </w:pPr>
      <w:r>
        <w:rPr>
          <w:bCs/>
          <w:b/>
        </w:rPr>
        <w:t xml:space="preserve">Internal Controls Assessment:</w:t>
      </w:r>
      <w:r>
        <w:t xml:space="preserve"> </w:t>
      </w:r>
      <w:r>
        <w:t xml:space="preserve">Evaluation of the design and operating effectiveness of internal financial controls across all operational divisions located in the Australia Melbourne area, including the primary manufacturing facility in Port Melbourne and the corporate headquarters in the CBD.</w:t>
      </w:r>
    </w:p>
    <w:p>
      <w:pPr>
        <w:numPr>
          <w:ilvl w:val="0"/>
          <w:numId w:val="1001"/>
        </w:numPr>
        <w:pStyle w:val="Compact"/>
      </w:pPr>
      <w:r>
        <w:rPr>
          <w:bCs/>
          <w:b/>
        </w:rPr>
        <w:t xml:space="preserve">Compliance Review:</w:t>
      </w:r>
      <w:r>
        <w:t xml:space="preserve"> </w:t>
      </w:r>
      <w:r>
        <w:t xml:space="preserve">Verification of compliance with the Corporations Act 2001 (Cth), Taxation Administration Act 1953, and all applicable Victorian state regulatory requirements relevant to manufacturing entities operating in Australia Melbourne.</w:t>
      </w:r>
    </w:p>
    <w:p>
      <w:pPr>
        <w:numPr>
          <w:ilvl w:val="0"/>
          <w:numId w:val="1001"/>
        </w:numPr>
        <w:pStyle w:val="Compact"/>
      </w:pPr>
      <w:r>
        <w:rPr>
          <w:bCs/>
          <w:b/>
        </w:rPr>
        <w:t xml:space="preserve">Related Party Transactions Review:</w:t>
      </w:r>
      <w:r>
        <w:t xml:space="preserve"> </w:t>
      </w:r>
      <w:r>
        <w:t xml:space="preserve">Examination and documentation of all related party transactions to ensure appropriate disclosure in the financial statements.</w:t>
      </w:r>
    </w:p>
    <w:p>
      <w:pPr>
        <w:numPr>
          <w:ilvl w:val="0"/>
          <w:numId w:val="1001"/>
        </w:numPr>
        <w:pStyle w:val="Compact"/>
      </w:pPr>
      <w:r>
        <w:rPr>
          <w:bCs/>
          <w:b/>
        </w:rPr>
        <w:t xml:space="preserve">Management Letter:</w:t>
      </w:r>
      <w:r>
        <w:t xml:space="preserve"> </w:t>
      </w:r>
      <w:r>
        <w:t xml:space="preserve">Provision of a written report identifying any significant deficiencies in internal controls, recommendations for process improvement, and observations relevant to the Auditor's findings during the engagement.</w:t>
      </w:r>
    </w:p>
    <w:p>
      <w:pPr>
        <w:numPr>
          <w:ilvl w:val="0"/>
          <w:numId w:val="1001"/>
        </w:numPr>
        <w:pStyle w:val="Compact"/>
      </w:pPr>
      <w:r>
        <w:rPr>
          <w:bCs/>
          <w:b/>
        </w:rPr>
        <w:t xml:space="preserve">Board Reporting:</w:t>
      </w:r>
      <w:r>
        <w:t xml:space="preserve"> </w:t>
      </w:r>
      <w:r>
        <w:t xml:space="preserve">Presentation of the Auditor's findings, opinions, and recommendations to the Board of Directors and the Audit Committee of Harbourline Manufacturing Group Ltd in Australia Melbourne.</w:t>
      </w:r>
    </w:p>
    <w:bookmarkEnd w:id="22"/>
    <w:bookmarkStart w:id="23" w:name="X12c4be83d062548a061d2214535591ea6256738"/>
    <w:p>
      <w:pPr>
        <w:pStyle w:val="Heading2"/>
      </w:pPr>
      <w:r>
        <w:t xml:space="preserve">3. Quotation Estimate – Itemised Professional Fees</w:t>
      </w:r>
    </w:p>
    <w:p>
      <w:pPr>
        <w:pStyle w:val="FirstParagraph"/>
      </w:pPr>
      <w:r>
        <w:t xml:space="preserve">The following Quotation Estimate details the professional fees associated with the Auditor engagement. All amounts are quoted in Australian Dollars (AUD) and are exclusive of Goods and Services Tax (GST) at the current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Estimated Hours</w:t>
            </w:r>
          </w:p>
        </w:tc>
        <w:tc>
          <w:tcPr/>
          <w:p>
            <w:pPr>
              <w:pStyle w:val="Compact"/>
              <w:jc w:val="left"/>
            </w:pPr>
            <w:r>
              <w:t xml:space="preserve">Rate (AUD/hr)</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Planning and Risk Assessment – Auditor engagement letter, materiality determination, and audit strategy development for the Australia Melbourne operations</w:t>
            </w:r>
          </w:p>
        </w:tc>
        <w:tc>
          <w:tcPr/>
          <w:p>
            <w:pPr>
              <w:pStyle w:val="Compact"/>
              <w:jc w:val="left"/>
            </w:pPr>
            <w:r>
              <w:t xml:space="preserve">40</w:t>
            </w:r>
          </w:p>
        </w:tc>
        <w:tc>
          <w:tcPr/>
          <w:p>
            <w:pPr>
              <w:pStyle w:val="Compact"/>
              <w:jc w:val="left"/>
            </w:pPr>
            <w:r>
              <w:t xml:space="preserve">285</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Fieldwork – Substantive testing of transactions, balances, and disclosures across all Australia Melbourne business units</w:t>
            </w:r>
          </w:p>
        </w:tc>
        <w:tc>
          <w:tcPr/>
          <w:p>
            <w:pPr>
              <w:pStyle w:val="Compact"/>
              <w:jc w:val="left"/>
            </w:pPr>
            <w:r>
              <w:t xml:space="preserve">180</w:t>
            </w:r>
          </w:p>
        </w:tc>
        <w:tc>
          <w:tcPr/>
          <w:p>
            <w:pPr>
              <w:pStyle w:val="Compact"/>
              <w:jc w:val="left"/>
            </w:pPr>
            <w:r>
              <w:t xml:space="preserve">245</w:t>
            </w:r>
          </w:p>
        </w:tc>
        <w:tc>
          <w:tcPr/>
          <w:p>
            <w:pPr>
              <w:pStyle w:val="Compact"/>
              <w:jc w:val="left"/>
            </w:pPr>
            <w:r>
              <w:t xml:space="preserve">44,100.00</w:t>
            </w:r>
          </w:p>
        </w:tc>
      </w:tr>
      <w:tr>
        <w:tc>
          <w:tcPr/>
          <w:p>
            <w:pPr>
              <w:pStyle w:val="Compact"/>
              <w:jc w:val="left"/>
            </w:pPr>
            <w:r>
              <w:t xml:space="preserve">3</w:t>
            </w:r>
          </w:p>
        </w:tc>
        <w:tc>
          <w:tcPr/>
          <w:p>
            <w:pPr>
              <w:pStyle w:val="Compact"/>
              <w:jc w:val="left"/>
            </w:pPr>
            <w:r>
              <w:t xml:space="preserve">Internal Controls Testing – Walkthroughs, control testing, and deficiency documentation</w:t>
            </w:r>
          </w:p>
        </w:tc>
        <w:tc>
          <w:tcPr/>
          <w:p>
            <w:pPr>
              <w:pStyle w:val="Compact"/>
              <w:jc w:val="left"/>
            </w:pPr>
            <w:r>
              <w:t xml:space="preserve">60</w:t>
            </w:r>
          </w:p>
        </w:tc>
        <w:tc>
          <w:tcPr/>
          <w:p>
            <w:pPr>
              <w:pStyle w:val="Compact"/>
              <w:jc w:val="left"/>
            </w:pPr>
            <w:r>
              <w:t xml:space="preserve">265</w:t>
            </w:r>
          </w:p>
        </w:tc>
        <w:tc>
          <w:tcPr/>
          <w:p>
            <w:pPr>
              <w:pStyle w:val="Compact"/>
              <w:jc w:val="left"/>
            </w:pPr>
            <w:r>
              <w:t xml:space="preserve">15,900.00</w:t>
            </w:r>
          </w:p>
        </w:tc>
      </w:tr>
      <w:tr>
        <w:tc>
          <w:tcPr/>
          <w:p>
            <w:pPr>
              <w:pStyle w:val="Compact"/>
              <w:jc w:val="left"/>
            </w:pPr>
            <w:r>
              <w:t xml:space="preserve">4</w:t>
            </w:r>
          </w:p>
        </w:tc>
        <w:tc>
          <w:tcPr/>
          <w:p>
            <w:pPr>
              <w:pStyle w:val="Compact"/>
              <w:jc w:val="left"/>
            </w:pPr>
            <w:r>
              <w:t xml:space="preserve">Compliance and Regulatory Review – ASIC, ATO, and Victorian regulatory compliance verification</w:t>
            </w:r>
          </w:p>
        </w:tc>
        <w:tc>
          <w:tcPr/>
          <w:p>
            <w:pPr>
              <w:pStyle w:val="Compact"/>
              <w:jc w:val="left"/>
            </w:pPr>
            <w:r>
              <w:t xml:space="preserve">35</w:t>
            </w:r>
          </w:p>
        </w:tc>
        <w:tc>
          <w:tcPr/>
          <w:p>
            <w:pPr>
              <w:pStyle w:val="Compact"/>
              <w:jc w:val="left"/>
            </w:pPr>
            <w:r>
              <w:t xml:space="preserve">285</w:t>
            </w:r>
          </w:p>
        </w:tc>
        <w:tc>
          <w:tcPr/>
          <w:p>
            <w:pPr>
              <w:pStyle w:val="Compact"/>
              <w:jc w:val="left"/>
            </w:pPr>
            <w:r>
              <w:t xml:space="preserve">9,975.00</w:t>
            </w:r>
          </w:p>
        </w:tc>
      </w:tr>
      <w:tr>
        <w:tc>
          <w:tcPr/>
          <w:p>
            <w:pPr>
              <w:pStyle w:val="Compact"/>
              <w:jc w:val="left"/>
            </w:pPr>
            <w:r>
              <w:t xml:space="preserve">5</w:t>
            </w:r>
          </w:p>
        </w:tc>
        <w:tc>
          <w:tcPr/>
          <w:p>
            <w:pPr>
              <w:pStyle w:val="Compact"/>
              <w:jc w:val="left"/>
            </w:pPr>
            <w:r>
              <w:t xml:space="preserve">Report Preparation and Review – Drafting of the Auditor's report, management letter, and board presentation materials</w:t>
            </w:r>
          </w:p>
        </w:tc>
        <w:tc>
          <w:tcPr/>
          <w:p>
            <w:pPr>
              <w:pStyle w:val="Compact"/>
              <w:jc w:val="left"/>
            </w:pPr>
            <w:r>
              <w:t xml:space="preserve">45</w:t>
            </w:r>
          </w:p>
        </w:tc>
        <w:tc>
          <w:tcPr/>
          <w:p>
            <w:pPr>
              <w:pStyle w:val="Compact"/>
              <w:jc w:val="left"/>
            </w:pPr>
            <w:r>
              <w:t xml:space="preserve">310</w:t>
            </w:r>
          </w:p>
        </w:tc>
        <w:tc>
          <w:tcPr/>
          <w:p>
            <w:pPr>
              <w:pStyle w:val="Compact"/>
              <w:jc w:val="left"/>
            </w:pPr>
            <w:r>
              <w:t xml:space="preserve">13,950.00</w:t>
            </w:r>
          </w:p>
        </w:tc>
      </w:tr>
      <w:tr>
        <w:tc>
          <w:tcPr/>
          <w:p>
            <w:pPr>
              <w:pStyle w:val="Compact"/>
              <w:jc w:val="left"/>
            </w:pPr>
            <w:r>
              <w:t xml:space="preserve">6</w:t>
            </w:r>
          </w:p>
        </w:tc>
        <w:tc>
          <w:tcPr/>
          <w:p>
            <w:pPr>
              <w:pStyle w:val="Compact"/>
              <w:jc w:val="left"/>
            </w:pPr>
            <w:r>
              <w:t xml:space="preserve">Quality Control and Partner Review – Independent quality review of the Auditor's work papers and final opinion</w:t>
            </w:r>
          </w:p>
        </w:tc>
        <w:tc>
          <w:tcPr/>
          <w:p>
            <w:pPr>
              <w:pStyle w:val="Compact"/>
              <w:jc w:val="left"/>
            </w:pPr>
            <w:r>
              <w:t xml:space="preserve">20</w:t>
            </w:r>
          </w:p>
        </w:tc>
        <w:tc>
          <w:tcPr/>
          <w:p>
            <w:pPr>
              <w:pStyle w:val="Compact"/>
              <w:jc w:val="left"/>
            </w:pPr>
            <w:r>
              <w:t xml:space="preserve">350</w:t>
            </w:r>
          </w:p>
        </w:tc>
        <w:tc>
          <w:tcPr/>
          <w:p>
            <w:pPr>
              <w:pStyle w:val="Compact"/>
              <w:jc w:val="left"/>
            </w:pPr>
            <w:r>
              <w:t xml:space="preserve">7,000.00</w:t>
            </w:r>
          </w:p>
        </w:tc>
      </w:tr>
      <w:tr>
        <w:tc>
          <w:tcPr/>
          <w:p>
            <w:pPr>
              <w:pStyle w:val="Compact"/>
              <w:jc w:val="left"/>
            </w:pPr>
            <w:r>
              <w:t xml:space="preserve">7</w:t>
            </w:r>
          </w:p>
        </w:tc>
        <w:tc>
          <w:tcPr/>
          <w:p>
            <w:pPr>
              <w:pStyle w:val="Compact"/>
              <w:jc w:val="left"/>
            </w:pPr>
            <w:r>
              <w:t xml:space="preserve">Travel and Local Expenses – Travel within the Australia Melbourne metropolitan area, parking, and incidental costs</w:t>
            </w:r>
          </w:p>
        </w:tc>
        <w:tc>
          <w:tcPr/>
          <w:p>
            <w:pPr>
              <w:pStyle w:val="Compact"/>
              <w:jc w:val="left"/>
            </w:pPr>
            <w:r>
              <w:t xml:space="preserve">—</w:t>
            </w:r>
          </w:p>
        </w:tc>
        <w:tc>
          <w:tcPr/>
          <w:p>
            <w:pPr>
              <w:pStyle w:val="Compact"/>
              <w:jc w:val="left"/>
            </w:pPr>
            <w:r>
              <w:t xml:space="preserve">—</w:t>
            </w:r>
          </w:p>
        </w:tc>
        <w:tc>
          <w:tcPr/>
          <w:p>
            <w:pPr>
              <w:pStyle w:val="Compact"/>
              <w:jc w:val="left"/>
            </w:pPr>
            <w:r>
              <w:t xml:space="preserve">2,500.00</w:t>
            </w:r>
          </w:p>
        </w:tc>
      </w:tr>
      <w:tr>
        <w:tc>
          <w:tcPr>
            <w:gridSpan w:val="4"/>
          </w:tcPr>
          <w:p>
            <w:pPr>
              <w:pStyle w:val="Compact"/>
              <w:jc w:val="left"/>
            </w:pPr>
            <w:r>
              <w:t xml:space="preserve">Subtotal (Excluding GST)</w:t>
            </w:r>
          </w:p>
        </w:tc>
        <w:tc>
          <w:tcPr/>
          <w:p>
            <w:pPr>
              <w:pStyle w:val="Compact"/>
              <w:jc w:val="left"/>
            </w:pPr>
            <w:r>
              <w:t xml:space="preserve">104,825.00</w:t>
            </w:r>
          </w:p>
        </w:tc>
      </w:tr>
      <w:tr>
        <w:tc>
          <w:tcPr>
            <w:gridSpan w:val="4"/>
          </w:tcPr>
          <w:p>
            <w:pPr>
              <w:pStyle w:val="Compact"/>
              <w:jc w:val="left"/>
            </w:pPr>
            <w:r>
              <w:t xml:space="preserve">GST (10%)</w:t>
            </w:r>
          </w:p>
        </w:tc>
        <w:tc>
          <w:tcPr/>
          <w:p>
            <w:pPr>
              <w:pStyle w:val="Compact"/>
              <w:jc w:val="left"/>
            </w:pPr>
            <w:r>
              <w:t xml:space="preserve">10,482.50</w:t>
            </w:r>
          </w:p>
        </w:tc>
      </w:tr>
      <w:tr>
        <w:tc>
          <w:tcPr>
            <w:gridSpan w:val="4"/>
          </w:tcPr>
          <w:p>
            <w:pPr>
              <w:pStyle w:val="Compact"/>
              <w:jc w:val="left"/>
            </w:pPr>
            <w:r>
              <w:t xml:space="preserve">TOTAL QUOTATION ESTIMATE (Incl. GST)</w:t>
            </w:r>
          </w:p>
        </w:tc>
        <w:tc>
          <w:tcPr/>
          <w:p>
            <w:pPr>
              <w:pStyle w:val="Compact"/>
              <w:jc w:val="left"/>
            </w:pPr>
            <w:r>
              <w:t xml:space="preserve">115,307.50</w:t>
            </w:r>
          </w:p>
        </w:tc>
      </w:tr>
    </w:tbl>
    <w:bookmarkEnd w:id="23"/>
    <w:bookmarkStart w:id="24" w:name="assumptions-and-exclusions"/>
    <w:p>
      <w:pPr>
        <w:pStyle w:val="Heading2"/>
      </w:pPr>
      <w:r>
        <w:t xml:space="preserve">4. Assumptions and Exclusions</w:t>
      </w:r>
    </w:p>
    <w:p>
      <w:pPr>
        <w:pStyle w:val="FirstParagraph"/>
      </w:pPr>
      <w:r>
        <w:t xml:space="preserve">This Quotation Estimate is based on the following assumptions regarding the Auditor engagement in Australia Melbourne:</w:t>
      </w:r>
    </w:p>
    <w:p>
      <w:pPr>
        <w:numPr>
          <w:ilvl w:val="0"/>
          <w:numId w:val="1002"/>
        </w:numPr>
        <w:pStyle w:val="Compact"/>
      </w:pPr>
      <w:r>
        <w:t xml:space="preserve">The entity's total revenue for FY2024/2025 does not exceed AUD 50 million, and total assets do not exceed AUD 80 million.</w:t>
      </w:r>
    </w:p>
    <w:p>
      <w:pPr>
        <w:numPr>
          <w:ilvl w:val="0"/>
          <w:numId w:val="1002"/>
        </w:numPr>
        <w:pStyle w:val="Compact"/>
      </w:pPr>
      <w:r>
        <w:t xml:space="preserve">All supporting documentation, ledgers, and records will be made available to the Auditor in a timely manner at the client's Australia Melbourne premises.</w:t>
      </w:r>
    </w:p>
    <w:p>
      <w:pPr>
        <w:numPr>
          <w:ilvl w:val="0"/>
          <w:numId w:val="1002"/>
        </w:numPr>
        <w:pStyle w:val="Compact"/>
      </w:pPr>
      <w:r>
        <w:t xml:space="preserve">The engagement covers a single reporting entity with no more than three (3) wholly-owned subsidiaries, all operating within the Australia Melbourne metropolitan region.</w:t>
      </w:r>
    </w:p>
    <w:p>
      <w:pPr>
        <w:numPr>
          <w:ilvl w:val="0"/>
          <w:numId w:val="1002"/>
        </w:numPr>
        <w:pStyle w:val="Compact"/>
      </w:pPr>
      <w:r>
        <w:t xml:space="preserve">This Quotation Estimate does not include tax advisory services, forensic investigation, litigation support, or any non-audit services that may be required separately.</w:t>
      </w:r>
    </w:p>
    <w:p>
      <w:pPr>
        <w:numPr>
          <w:ilvl w:val="0"/>
          <w:numId w:val="1002"/>
        </w:numPr>
        <w:pStyle w:val="Compact"/>
      </w:pPr>
      <w:r>
        <w:t xml:space="preserve">Any additional work arising from scope changes, unanticipated complexities, or regulatory inquiries beyond the initial scope will be subject to a revised Quotation Estimate issued by the Auditor prior to commencement of such additional work.</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Upon expiry, the Auditor reserves the right to revise the fees based on current market rates and resource availability in Australia Melbourne.</w:t>
      </w:r>
    </w:p>
    <w:p>
      <w:pPr>
        <w:numPr>
          <w:ilvl w:val="0"/>
          <w:numId w:val="1003"/>
        </w:numPr>
        <w:pStyle w:val="Compact"/>
      </w:pPr>
      <w:r>
        <w:t xml:space="preserve">Payment terms: 50% of the total Quotation Estimate amount is due upon execution of the Auditor engagement letter; the remaining 50% is due within fourteen (14) business days of the issuance of the final Auditor's report.</w:t>
      </w:r>
    </w:p>
    <w:p>
      <w:pPr>
        <w:numPr>
          <w:ilvl w:val="0"/>
          <w:numId w:val="1003"/>
        </w:numPr>
        <w:pStyle w:val="Compact"/>
      </w:pPr>
      <w:r>
        <w:t xml:space="preserve">The Auditor shall maintain professional independence and objectivity in accordance with the Code of Ethics for Professional Accountants issued by the Australian Accounting Professional and Ethical Standards Board (APESB).</w:t>
      </w:r>
    </w:p>
    <w:p>
      <w:pPr>
        <w:numPr>
          <w:ilvl w:val="0"/>
          <w:numId w:val="1003"/>
        </w:numPr>
        <w:pStyle w:val="Compact"/>
      </w:pPr>
      <w:r>
        <w:t xml:space="preserve">All work performed under this Quotation Estimate shall be conducted in strict compliance with Australian Auditing Standards and the ethical requirements applicable to registered Auditor firms in Australia Melbourne.</w:t>
      </w:r>
    </w:p>
    <w:p>
      <w:pPr>
        <w:numPr>
          <w:ilvl w:val="0"/>
          <w:numId w:val="1003"/>
        </w:numPr>
        <w:pStyle w:val="Compact"/>
      </w:pPr>
      <w:r>
        <w:t xml:space="preserve">The Auditor shall not be liable for any loss or damage arising from the client's failure to provide complete and accurate information, or from events occurring after the date of the Auditor's report.</w:t>
      </w:r>
    </w:p>
    <w:p>
      <w:pPr>
        <w:numPr>
          <w:ilvl w:val="0"/>
          <w:numId w:val="1003"/>
        </w:numPr>
        <w:pStyle w:val="Compact"/>
      </w:pPr>
      <w:r>
        <w:t xml:space="preserve">This Quotation Estimate is subject to the standard terms and conditions of Meridian Audit &amp; Advisory Partners Pty Ltd, which are available upon request and form part of this agreement upon acceptance.</w:t>
      </w:r>
    </w:p>
    <w:p>
      <w:pPr>
        <w:numPr>
          <w:ilvl w:val="0"/>
          <w:numId w:val="1003"/>
        </w:numPr>
        <w:pStyle w:val="Compact"/>
      </w:pPr>
      <w:r>
        <w:t xml:space="preserve">Governing law: This Quotation Estimate and the resulting Auditor engagement shall be governed by and construed in accordance with the laws of the State of Victoria, Australia Melbourne.</w:t>
      </w:r>
    </w:p>
    <w:bookmarkEnd w:id="25"/>
    <w:bookmarkStart w:id="26" w:name="acceptance-and-authorisation"/>
    <w:p>
      <w:pPr>
        <w:pStyle w:val="Heading2"/>
      </w:pPr>
      <w:r>
        <w:t xml:space="preserve">6. Acceptance and Authorisation</w:t>
      </w:r>
    </w:p>
    <w:p>
      <w:pPr>
        <w:pStyle w:val="FirstParagraph"/>
      </w:pPr>
      <w:r>
        <w:t xml:space="preserve">By signing below, the client acknowledges and accepts this Quotation Estimate for the Auditor services described herein. The Auditor engagement shall commence upon receipt of the signed engagement letter and the initial 50% payment.</w:t>
      </w:r>
    </w:p>
    <w:p>
      <w:pPr>
        <w:pStyle w:val="BodyText"/>
      </w:pPr>
      <w:r>
        <w:rPr>
          <w:bCs/>
          <w:b/>
        </w:rPr>
        <w:t xml:space="preserve">For and on behalf of Harbourline Manufacturing Group Ltd</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and on behalf of Meridian Audit &amp; Advisory Partners Pty Ltd (The Auditor)</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Meridian Audit &amp; Advisory Partners Pty Ltd | ABN 45 123 456 789 | Level 12, 333 Collins Street, Melbourne VIC 3000, Australia Melbourne</w:t>
      </w:r>
    </w:p>
    <w:p>
      <w:pPr>
        <w:pStyle w:val="BodyText"/>
      </w:pPr>
      <w:r>
        <w:t xml:space="preserve">Phone: +61 3 9000 1234 | Email: enquiries@meridianaudit.com.au | ASIC Registered Auditor Firm No. 2025-0891</w:t>
      </w:r>
    </w:p>
    <w:p>
      <w:pPr>
        <w:pStyle w:val="BodyText"/>
      </w:pPr>
      <w:r>
        <w:t xml:space="preserve">This Quotation Estimate is confidential and intended solely for the named recipient. Unauthorised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Australia Melbourne</dc:title>
  <dc:creator/>
  <dc:language>en</dc:language>
  <cp:keywords/>
  <dcterms:created xsi:type="dcterms:W3CDTF">2026-10-10T03:07:19Z</dcterms:created>
  <dcterms:modified xsi:type="dcterms:W3CDTF">2026-10-10T03:07:19Z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