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rPr>
          <w:bCs/>
          <w:b/>
        </w:rPr>
        <w:t xml:space="preserve">Rio de Janeiro Audit &amp; Compliance Services Ltda.</w:t>
      </w:r>
    </w:p>
    <w:p>
      <w:pPr>
        <w:pStyle w:val="BodyText"/>
      </w:pPr>
      <w:r>
        <w:t xml:space="preserve">Av. Rio Branco, 1200 – 15th Floor, Centro, Rio de Janeiro – RJ, CEP 20040-001, Brazil</w:t>
      </w:r>
    </w:p>
    <w:p>
      <w:pPr>
        <w:pStyle w:val="BodyText"/>
      </w:pPr>
      <w:r>
        <w:t xml:space="preserve">CNPJ: 12.345.678/0001-90 | Tel: +55 (21) 3456-7890 | Email: quotations@rjaudit.com.br</w:t>
      </w:r>
    </w:p>
    <w:bookmarkEnd w:id="20"/>
    <w:p>
      <w:pPr>
        <w:pStyle w:val="BodyText"/>
      </w:pPr>
      <w:r>
        <w:rPr>
          <w:bCs/>
          <w:b/>
        </w:rPr>
        <w:t xml:space="preserve">Quotation No.:</w:t>
      </w:r>
      <w:r>
        <w:t xml:space="preserve"> </w:t>
      </w:r>
      <w:r>
        <w:t xml:space="preserve">QE-2025-RJ-0487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Rio de Janeiro, Brazil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[Client Legal Name]</w:t>
            </w:r>
          </w:p>
        </w:tc>
        <w:tc>
          <w:tcPr/>
          <w:p>
            <w:pPr>
              <w:pStyle w:val="Compact"/>
              <w:jc w:val="left"/>
            </w:pPr>
            <w:r>
              <w:rPr>
                <w:bCs/>
                <w:b/>
              </w:rPr>
              <w:t xml:space="preserve">CNPJ:</w:t>
            </w:r>
            <w:r>
              <w:t xml:space="preserve"> </w:t>
            </w:r>
            <w:r>
              <w:t xml:space="preserve">[Client CNPJ Number]</w:t>
            </w:r>
          </w:p>
        </w:tc>
      </w:tr>
      <w:tr>
        <w:tc>
          <w:tcPr/>
          <w:p>
            <w:pPr>
              <w:pStyle w:val="Compact"/>
              <w:jc w:val="left"/>
            </w:pPr>
            <w:r>
              <w:rPr>
                <w:bCs/>
                <w:b/>
              </w:rPr>
              <w:t xml:space="preserve">Address:</w:t>
            </w:r>
            <w:r>
              <w:t xml:space="preserve"> </w:t>
            </w:r>
            <w:r>
              <w:t xml:space="preserve">[Client Address], Rio de Janeiro – RJ, Brazil</w:t>
            </w:r>
          </w:p>
        </w:tc>
        <w:tc>
          <w:tcPr/>
          <w:p>
            <w:pPr>
              <w:pStyle w:val="Compact"/>
              <w:jc w:val="left"/>
            </w:pPr>
            <w:r>
              <w:rPr>
                <w:bCs/>
                <w:b/>
              </w:rPr>
              <w:t xml:space="preserve">Contact Person:</w:t>
            </w:r>
            <w:r>
              <w:t xml:space="preserve"> </w:t>
            </w:r>
            <w:r>
              <w:t xml:space="preserve">[Name &amp; Title]</w:t>
            </w:r>
          </w:p>
        </w:tc>
      </w:tr>
      <w:tr>
        <w:tc>
          <w:tcPr/>
          <w:p>
            <w:pPr>
              <w:pStyle w:val="Compact"/>
              <w:jc w:val="left"/>
            </w:pPr>
            <w:r>
              <w:rPr>
                <w:bCs/>
                <w:b/>
              </w:rPr>
              <w:t xml:space="preserve">Email:</w:t>
            </w:r>
            <w:r>
              <w:t xml:space="preserve"> </w:t>
            </w:r>
            <w:r>
              <w:t xml:space="preserve">[Client Email]</w:t>
            </w:r>
          </w:p>
        </w:tc>
        <w:tc>
          <w:tcPr/>
          <w:p>
            <w:pPr>
              <w:pStyle w:val="Compact"/>
              <w:jc w:val="left"/>
            </w:pPr>
            <w:r>
              <w:rPr>
                <w:bCs/>
                <w:b/>
              </w:rPr>
              <w:t xml:space="preserve">Phone:</w:t>
            </w:r>
            <w:r>
              <w:t xml:space="preserve"> </w:t>
            </w:r>
            <w:r>
              <w:t xml:space="preserve">[Client Phone]</w:t>
            </w:r>
          </w:p>
        </w:tc>
      </w:tr>
    </w:tbl>
    <w:p>
      <w:pPr>
        <w:pStyle w:val="BodyText"/>
      </w:pPr>
      <w:r>
        <w:t xml:space="preserve">2. Scope of Auditor Services</w:t>
      </w:r>
    </w:p>
    <w:p>
      <w:pPr>
        <w:pStyle w:val="BodyText"/>
      </w:pPr>
      <w:r>
        <w:t xml:space="preserve">This</w:t>
      </w:r>
      <w:r>
        <w:t xml:space="preserve"> </w:t>
      </w:r>
      <w:r>
        <w:t xml:space="preserve">Quotation Estimate</w:t>
      </w:r>
      <w:r>
        <w:t xml:space="preserve"> </w:t>
      </w:r>
      <w:r>
        <w:t xml:space="preserve">is issued by Rio de Janeiro Audit &amp; Compliance Services Ltda. to provide a comprehensive and itemized financial projection for the engagement of a certified</w:t>
      </w:r>
      <w:r>
        <w:t xml:space="preserve"> </w:t>
      </w:r>
      <w:r>
        <w:t xml:space="preserve">Auditor</w:t>
      </w:r>
      <w:r>
        <w:t xml:space="preserve"> </w:t>
      </w:r>
      <w:r>
        <w:t xml:space="preserve">to perform statutory, operational, and compliance audit procedures at the client's premises located in</w:t>
      </w:r>
      <w:r>
        <w:t xml:space="preserve"> </w:t>
      </w:r>
      <w:r>
        <w:t xml:space="preserve">Rio de Janeiro, Brazil</w:t>
      </w:r>
      <w:r>
        <w:t xml:space="preserve">. The</w:t>
      </w:r>
      <w:r>
        <w:t xml:space="preserve"> </w:t>
      </w:r>
      <w:r>
        <w:t xml:space="preserve">Auditor</w:t>
      </w:r>
      <w:r>
        <w:t xml:space="preserve"> </w:t>
      </w:r>
      <w:r>
        <w:t xml:space="preserve">engagement is structured in accordance with the Brazilian Institute of Certified Public Accountants (IBRACON) standards, the Federal Revenue Service (Receita Federal) regulations, and the applicable norms of the Brazilian Central Bank (Banco Central do Brasil) where relevant to the client's sector.</w:t>
      </w:r>
    </w:p>
    <w:p>
      <w:pPr>
        <w:pStyle w:val="BodyText"/>
      </w:pPr>
      <w:r>
        <w:t xml:space="preserve">The</w:t>
      </w:r>
      <w:r>
        <w:t xml:space="preserve"> </w:t>
      </w:r>
      <w:r>
        <w:t xml:space="preserve">Auditor</w:t>
      </w:r>
      <w:r>
        <w:t xml:space="preserve"> </w:t>
      </w:r>
      <w:r>
        <w:t xml:space="preserve">will conduct a full-cycle review of the client's financial statements, internal controls, tax compliance filings, and operational processes for the fiscal year 2024–2025. All audit fieldwork will be performed in</w:t>
      </w:r>
      <w:r>
        <w:t xml:space="preserve"> </w:t>
      </w:r>
      <w:r>
        <w:t xml:space="preserve">Rio de Janeiro, Brazil</w:t>
      </w:r>
      <w:r>
        <w:t xml:space="preserve">, with on-site visits to the client's headquarters and any satellite offices within the state of Rio de Janeiro. The</w:t>
      </w:r>
      <w:r>
        <w:t xml:space="preserve"> </w:t>
      </w:r>
      <w:r>
        <w:t xml:space="preserve">Quotation Estimate</w:t>
      </w:r>
      <w:r>
        <w:t xml:space="preserve"> </w:t>
      </w:r>
      <w:r>
        <w:t xml:space="preserve">below reflects the professional fees, travel, and ancillary costs associated with this</w:t>
      </w:r>
      <w:r>
        <w:t xml:space="preserve"> </w:t>
      </w:r>
      <w:r>
        <w:t xml:space="preserve">Auditor</w:t>
      </w:r>
      <w:r>
        <w:t xml:space="preserve"> </w:t>
      </w:r>
      <w:r>
        <w:t xml:space="preserve">engagement in the</w:t>
      </w:r>
      <w:r>
        <w:t xml:space="preserve"> </w:t>
      </w:r>
      <w:r>
        <w:t xml:space="preserve">Rio de Janeiro</w:t>
      </w:r>
      <w:r>
        <w:t xml:space="preserve"> </w:t>
      </w:r>
      <w:r>
        <w:t xml:space="preserve">metropolitan area.</w:t>
      </w:r>
    </w:p>
    <w:p>
      <w:pPr>
        <w:pStyle w:val="BodyText"/>
      </w:pPr>
      <w:r>
        <w:t xml:space="preserve">3. Itemized Quotation Estimate – Auditor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Duration / Qty</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Statutory Financial Audit – Review of balance sheet, income statement, cash flow, and notes to accounts per CPC (Brazilian Accounting Standards) and IFRS alignment</w:t>
            </w:r>
          </w:p>
        </w:tc>
        <w:tc>
          <w:tcPr/>
          <w:p>
            <w:pPr>
              <w:pStyle w:val="Compact"/>
              <w:jc w:val="left"/>
            </w:pPr>
            <w:r>
              <w:t xml:space="preserve">45 professional hours</w:t>
            </w:r>
          </w:p>
        </w:tc>
        <w:tc>
          <w:tcPr/>
          <w:p>
            <w:pPr>
              <w:pStyle w:val="Compact"/>
              <w:jc w:val="left"/>
            </w:pPr>
            <w:r>
              <w:t xml:space="preserve">R$ 480,00</w:t>
            </w:r>
          </w:p>
        </w:tc>
        <w:tc>
          <w:tcPr/>
          <w:p>
            <w:pPr>
              <w:pStyle w:val="Compact"/>
              <w:jc w:val="left"/>
            </w:pPr>
            <w:r>
              <w:t xml:space="preserve">R$ 21,600.00</w:t>
            </w:r>
          </w:p>
        </w:tc>
      </w:tr>
      <w:tr>
        <w:tc>
          <w:tcPr/>
          <w:p>
            <w:pPr>
              <w:pStyle w:val="Compact"/>
              <w:jc w:val="left"/>
            </w:pPr>
            <w:r>
              <w:t xml:space="preserve">02</w:t>
            </w:r>
          </w:p>
        </w:tc>
        <w:tc>
          <w:tcPr/>
          <w:p>
            <w:pPr>
              <w:pStyle w:val="Compact"/>
              <w:jc w:val="left"/>
            </w:pPr>
            <w:r>
              <w:t xml:space="preserve">Tax Compliance Audit – Verification of IRPJ, CSLL, PIS/COFINS, ICMS (Rio de Janeiro state tax), and IPI filings with the Receita Federal and SEFAZ-RJ</w:t>
            </w:r>
          </w:p>
        </w:tc>
        <w:tc>
          <w:tcPr/>
          <w:p>
            <w:pPr>
              <w:pStyle w:val="Compact"/>
              <w:jc w:val="left"/>
            </w:pPr>
            <w:r>
              <w:t xml:space="preserve">30 professional hours</w:t>
            </w:r>
          </w:p>
        </w:tc>
        <w:tc>
          <w:tcPr/>
          <w:p>
            <w:pPr>
              <w:pStyle w:val="Compact"/>
              <w:jc w:val="left"/>
            </w:pPr>
            <w:r>
              <w:t xml:space="preserve">R$ 480,00</w:t>
            </w:r>
          </w:p>
        </w:tc>
        <w:tc>
          <w:tcPr/>
          <w:p>
            <w:pPr>
              <w:pStyle w:val="Compact"/>
              <w:jc w:val="left"/>
            </w:pPr>
            <w:r>
              <w:t xml:space="preserve">R$ 14,400.00</w:t>
            </w:r>
          </w:p>
        </w:tc>
      </w:tr>
      <w:tr>
        <w:tc>
          <w:tcPr/>
          <w:p>
            <w:pPr>
              <w:pStyle w:val="Compact"/>
              <w:jc w:val="left"/>
            </w:pPr>
            <w:r>
              <w:t xml:space="preserve">03</w:t>
            </w:r>
          </w:p>
        </w:tc>
        <w:tc>
          <w:tcPr/>
          <w:p>
            <w:pPr>
              <w:pStyle w:val="Compact"/>
              <w:jc w:val="left"/>
            </w:pPr>
            <w:r>
              <w:t xml:space="preserve">Internal Controls &amp; Operational Audit – Assessment of segregation of duties, authorization matrices, and process efficiency at the Rio de Janeiro headquarters</w:t>
            </w:r>
          </w:p>
        </w:tc>
        <w:tc>
          <w:tcPr/>
          <w:p>
            <w:pPr>
              <w:pStyle w:val="Compact"/>
              <w:jc w:val="left"/>
            </w:pPr>
            <w:r>
              <w:t xml:space="preserve">25 professional hours</w:t>
            </w:r>
          </w:p>
        </w:tc>
        <w:tc>
          <w:tcPr/>
          <w:p>
            <w:pPr>
              <w:pStyle w:val="Compact"/>
              <w:jc w:val="left"/>
            </w:pPr>
            <w:r>
              <w:t xml:space="preserve">R$ 520,00</w:t>
            </w:r>
          </w:p>
        </w:tc>
        <w:tc>
          <w:tcPr/>
          <w:p>
            <w:pPr>
              <w:pStyle w:val="Compact"/>
              <w:jc w:val="left"/>
            </w:pPr>
            <w:r>
              <w:t xml:space="preserve">R$ 13,000.00</w:t>
            </w:r>
          </w:p>
        </w:tc>
      </w:tr>
      <w:tr>
        <w:tc>
          <w:tcPr/>
          <w:p>
            <w:pPr>
              <w:pStyle w:val="Compact"/>
              <w:jc w:val="left"/>
            </w:pPr>
            <w:r>
              <w:t xml:space="preserve">04</w:t>
            </w:r>
          </w:p>
        </w:tc>
        <w:tc>
          <w:tcPr/>
          <w:p>
            <w:pPr>
              <w:pStyle w:val="Compact"/>
              <w:jc w:val="left"/>
            </w:pPr>
            <w:r>
              <w:t xml:space="preserve">On-site Fieldwork &amp; Physical Inventory Verification – Auditor visits to client facilities in Rio de Janeiro, RJ (up to 5 site visits)</w:t>
            </w:r>
          </w:p>
        </w:tc>
        <w:tc>
          <w:tcPr/>
          <w:p>
            <w:pPr>
              <w:pStyle w:val="Compact"/>
              <w:jc w:val="left"/>
            </w:pPr>
            <w:r>
              <w:t xml:space="preserve">5 days</w:t>
            </w:r>
          </w:p>
        </w:tc>
        <w:tc>
          <w:tcPr/>
          <w:p>
            <w:pPr>
              <w:pStyle w:val="Compact"/>
              <w:jc w:val="left"/>
            </w:pPr>
            <w:r>
              <w:t xml:space="preserve">R$ 1,200.00</w:t>
            </w:r>
          </w:p>
        </w:tc>
        <w:tc>
          <w:tcPr/>
          <w:p>
            <w:pPr>
              <w:pStyle w:val="Compact"/>
              <w:jc w:val="left"/>
            </w:pPr>
            <w:r>
              <w:t xml:space="preserve">R$ 6,000.00</w:t>
            </w:r>
          </w:p>
        </w:tc>
      </w:tr>
      <w:tr>
        <w:tc>
          <w:tcPr/>
          <w:p>
            <w:pPr>
              <w:pStyle w:val="Compact"/>
              <w:jc w:val="left"/>
            </w:pPr>
            <w:r>
              <w:t xml:space="preserve">05</w:t>
            </w:r>
          </w:p>
        </w:tc>
        <w:tc>
          <w:tcPr/>
          <w:p>
            <w:pPr>
              <w:pStyle w:val="Compact"/>
              <w:jc w:val="left"/>
            </w:pPr>
            <w:r>
              <w:t xml:space="preserve">Audit Report Preparation &amp; Management Letter – Drafting of the final Auditor's opinion, findings memorandum, and recommendations in Portuguese and English</w:t>
            </w:r>
          </w:p>
        </w:tc>
        <w:tc>
          <w:tcPr/>
          <w:p>
            <w:pPr>
              <w:pStyle w:val="Compact"/>
              <w:jc w:val="left"/>
            </w:pPr>
            <w:r>
              <w:t xml:space="preserve">20 professional hours</w:t>
            </w:r>
          </w:p>
        </w:tc>
        <w:tc>
          <w:tcPr/>
          <w:p>
            <w:pPr>
              <w:pStyle w:val="Compact"/>
              <w:jc w:val="left"/>
            </w:pPr>
            <w:r>
              <w:t xml:space="preserve">R$ 480,00</w:t>
            </w:r>
          </w:p>
        </w:tc>
        <w:tc>
          <w:tcPr/>
          <w:p>
            <w:pPr>
              <w:pStyle w:val="Compact"/>
              <w:jc w:val="left"/>
            </w:pPr>
            <w:r>
              <w:t xml:space="preserve">R$ 9,600.00</w:t>
            </w:r>
          </w:p>
        </w:tc>
      </w:tr>
      <w:tr>
        <w:tc>
          <w:tcPr/>
          <w:p>
            <w:pPr>
              <w:pStyle w:val="Compact"/>
              <w:jc w:val="left"/>
            </w:pPr>
            <w:r>
              <w:t xml:space="preserve">06</w:t>
            </w:r>
          </w:p>
        </w:tc>
        <w:tc>
          <w:tcPr/>
          <w:p>
            <w:pPr>
              <w:pStyle w:val="Compact"/>
              <w:jc w:val="left"/>
            </w:pPr>
            <w:r>
              <w:t xml:space="preserve">Regulatory Filing Support – Assistance with submission of the Auditor's report to the Junta Comercial do Estado do Rio de Janeiro and relevant regulatory bodies</w:t>
            </w:r>
          </w:p>
        </w:tc>
        <w:tc>
          <w:tcPr/>
          <w:p>
            <w:pPr>
              <w:pStyle w:val="Compact"/>
              <w:jc w:val="left"/>
            </w:pPr>
            <w:r>
              <w:t xml:space="preserve">10 professional hours</w:t>
            </w:r>
          </w:p>
        </w:tc>
        <w:tc>
          <w:tcPr/>
          <w:p>
            <w:pPr>
              <w:pStyle w:val="Compact"/>
              <w:jc w:val="left"/>
            </w:pPr>
            <w:r>
              <w:t xml:space="preserve">R$ 450,00</w:t>
            </w:r>
          </w:p>
        </w:tc>
        <w:tc>
          <w:tcPr/>
          <w:p>
            <w:pPr>
              <w:pStyle w:val="Compact"/>
              <w:jc w:val="left"/>
            </w:pPr>
            <w:r>
              <w:t xml:space="preserve">R$ 4,500.00</w:t>
            </w:r>
          </w:p>
        </w:tc>
      </w:tr>
      <w:tr>
        <w:tc>
          <w:tcPr/>
          <w:p>
            <w:pPr>
              <w:pStyle w:val="Compact"/>
              <w:jc w:val="left"/>
            </w:pPr>
            <w:r>
              <w:t xml:space="preserve">07</w:t>
            </w:r>
          </w:p>
        </w:tc>
        <w:tc>
          <w:tcPr/>
          <w:p>
            <w:pPr>
              <w:pStyle w:val="Compact"/>
              <w:jc w:val="left"/>
            </w:pPr>
            <w:r>
              <w:t xml:space="preserve">Travel, Local Transportation &amp; Accommodation – Auditor travel within Rio de Janeiro metropolitan area (Centro, Barra da Tijuca, Niterói) and lodging for multi-day fieldwork</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R$ 3,800.00</w:t>
            </w:r>
          </w:p>
        </w:tc>
      </w:tr>
      <w:tr>
        <w:tc>
          <w:tcPr/>
          <w:p>
            <w:pPr>
              <w:pStyle w:val="Compact"/>
              <w:jc w:val="left"/>
            </w:pPr>
            <w:r>
              <w:t xml:space="preserve">08</w:t>
            </w:r>
          </w:p>
        </w:tc>
        <w:tc>
          <w:tcPr/>
          <w:p>
            <w:pPr>
              <w:pStyle w:val="Compact"/>
              <w:jc w:val="left"/>
            </w:pPr>
            <w:r>
              <w:t xml:space="preserve">Professional Liability Insurance &amp; Regulatory Fees – Auditor registration with CRC-RJ (Conselho Regional de Contadores do Rio de Janeiro) and professional indemnity coverage</w:t>
            </w:r>
          </w:p>
        </w:tc>
        <w:tc>
          <w:tcPr/>
          <w:p>
            <w:pPr>
              <w:pStyle w:val="Compact"/>
              <w:jc w:val="left"/>
            </w:pPr>
            <w:r>
              <w:t xml:space="preserve">Per engagement</w:t>
            </w:r>
          </w:p>
        </w:tc>
        <w:tc>
          <w:tcPr/>
          <w:p>
            <w:pPr>
              <w:pStyle w:val="Compact"/>
              <w:jc w:val="left"/>
            </w:pPr>
            <w:r>
              <w:t xml:space="preserve">—</w:t>
            </w:r>
          </w:p>
        </w:tc>
        <w:tc>
          <w:tcPr/>
          <w:p>
            <w:pPr>
              <w:pStyle w:val="Compact"/>
              <w:jc w:val="left"/>
            </w:pPr>
            <w:r>
              <w:t xml:space="preserve">R$ 2,100.00</w:t>
            </w:r>
          </w:p>
        </w:tc>
      </w:tr>
      <w:tr>
        <w:tc>
          <w:tcPr>
            <w:gridSpan w:val="4"/>
          </w:tcPr>
          <w:p>
            <w:pPr>
              <w:pStyle w:val="Compact"/>
              <w:jc w:val="left"/>
            </w:pPr>
            <w:r>
              <w:t xml:space="preserve">Subtotal (BRL)</w:t>
            </w:r>
          </w:p>
        </w:tc>
        <w:tc>
          <w:tcPr/>
          <w:p>
            <w:pPr>
              <w:pStyle w:val="Compact"/>
              <w:jc w:val="left"/>
            </w:pPr>
            <w:r>
              <w:t xml:space="preserve">R$ 75,000.00</w:t>
            </w:r>
          </w:p>
        </w:tc>
      </w:tr>
      <w:tr>
        <w:tc>
          <w:tcPr>
            <w:gridSpan w:val="4"/>
          </w:tcPr>
          <w:p>
            <w:pPr>
              <w:pStyle w:val="Compact"/>
              <w:jc w:val="left"/>
            </w:pPr>
            <w:r>
              <w:t xml:space="preserve">Applicable Taxes – ISS (Rio de Janeiro municipal service tax, 5%) and PIS/COFINS (3.65%)</w:t>
            </w:r>
          </w:p>
        </w:tc>
        <w:tc>
          <w:tcPr/>
          <w:p>
            <w:pPr>
              <w:pStyle w:val="Compact"/>
              <w:jc w:val="left"/>
            </w:pPr>
            <w:r>
              <w:t xml:space="preserve">R$ 4,323.75</w:t>
            </w:r>
          </w:p>
        </w:tc>
      </w:tr>
      <w:tr>
        <w:tc>
          <w:tcPr>
            <w:gridSpan w:val="4"/>
          </w:tcPr>
          <w:p>
            <w:pPr>
              <w:pStyle w:val="Compact"/>
              <w:jc w:val="left"/>
            </w:pPr>
            <w:r>
              <w:rPr>
                <w:bCs/>
                <w:b/>
              </w:rPr>
              <w:t xml:space="preserve">GRAND TOTAL – Quotation Estimate (BRL)</w:t>
            </w:r>
          </w:p>
        </w:tc>
        <w:tc>
          <w:tcPr/>
          <w:p>
            <w:pPr>
              <w:pStyle w:val="Compact"/>
              <w:jc w:val="left"/>
            </w:pPr>
            <w:r>
              <w:rPr>
                <w:bCs/>
                <w:b/>
              </w:rPr>
              <w:t xml:space="preserve">R$ 79,323.75</w:t>
            </w:r>
          </w:p>
        </w:tc>
      </w:tr>
    </w:tbl>
    <w:p>
      <w:pPr>
        <w:pStyle w:val="BodyText"/>
      </w:pPr>
      <w:r>
        <w:rPr>
          <w:bCs/>
          <w:b/>
        </w:rPr>
        <w:t xml:space="preserve">Note:</w:t>
      </w:r>
      <w:r>
        <w:t xml:space="preserve"> </w:t>
      </w:r>
      <w:r>
        <w:t xml:space="preserve">This Quotation Estimate is denominated in Brazilian Reais (BRL). For international clients, an equivalent amount in USD may be provided upon request at the CEFEX rate on the date of contract execution. All Auditor services are subject to the professional ethics code of the CRC-RJ and the anti-corruption provisions of Brazilian Federal Law No. 12,846/2013 (Clean Company Act).</w:t>
      </w:r>
    </w:p>
    <w:p>
      <w:pPr>
        <w:pStyle w:val="BodyText"/>
      </w:pPr>
      <w:r>
        <w:t xml:space="preserve">4. Terms and Conditions of the Quotation Estimate</w:t>
      </w:r>
    </w:p>
    <w:p>
      <w:pPr>
        <w:numPr>
          <w:ilvl w:val="0"/>
          <w:numId w:val="1001"/>
        </w:numPr>
        <w:pStyle w:val="Compact"/>
      </w:pPr>
      <w:r>
        <w:rPr>
          <w:bCs/>
          <w:b/>
        </w:rPr>
        <w:t xml:space="preserve">Validity:</w:t>
      </w:r>
      <w:r>
        <w:t xml:space="preserve"> </w:t>
      </w:r>
      <w:r>
        <w:t xml:space="preserve">This Quotation Estimate for Auditor services is valid for thirty (30) calendar days from the date of issue. After this period, fees may be revised to reflect changes in the Rio de Janeiro cost-of-living index (IPCA) or market rate adjustments.</w:t>
      </w:r>
    </w:p>
    <w:p>
      <w:pPr>
        <w:numPr>
          <w:ilvl w:val="0"/>
          <w:numId w:val="1001"/>
        </w:numPr>
        <w:pStyle w:val="Compact"/>
      </w:pPr>
      <w:r>
        <w:rPr>
          <w:bCs/>
          <w:b/>
        </w:rPr>
        <w:t xml:space="preserve">Payment Schedule:</w:t>
      </w:r>
      <w:r>
        <w:t xml:space="preserve"> </w:t>
      </w:r>
      <w:r>
        <w:t xml:space="preserve">40% advance payment upon contract signing; 40% upon completion of fieldwork in Rio de Janeiro; 20% upon delivery of the final Auditor's report and regulatory filings.</w:t>
      </w:r>
    </w:p>
    <w:p>
      <w:pPr>
        <w:numPr>
          <w:ilvl w:val="0"/>
          <w:numId w:val="1001"/>
        </w:numPr>
        <w:pStyle w:val="Compact"/>
      </w:pPr>
      <w:r>
        <w:rPr>
          <w:bCs/>
          <w:b/>
        </w:rPr>
        <w:t xml:space="preserve">Payment Method:</w:t>
      </w:r>
      <w:r>
        <w:t xml:space="preserve"> </w:t>
      </w:r>
      <w:r>
        <w:t xml:space="preserve">Bank transfer (TED/PIX) to the account of Rio de Janeiro Audit &amp; Compliance Services Ltda., Banco do Brasil, Ag. 1234-5, Conta 67890-1, CNPJ 12.345.678/0001-90.</w:t>
      </w:r>
    </w:p>
    <w:p>
      <w:pPr>
        <w:numPr>
          <w:ilvl w:val="0"/>
          <w:numId w:val="1001"/>
        </w:numPr>
        <w:pStyle w:val="Compact"/>
      </w:pPr>
      <w:r>
        <w:rPr>
          <w:bCs/>
          <w:b/>
        </w:rPr>
        <w:t xml:space="preserve">Deliverables:</w:t>
      </w:r>
      <w:r>
        <w:t xml:space="preserve"> </w:t>
      </w:r>
      <w:r>
        <w:t xml:space="preserve">The Auditor shall deliver a signed audit opinion, a detailed management letter with findings and recommendations, and all supporting workpapers retained for a minimum of five (5) years in compliance with Brazilian archival regulations.</w:t>
      </w:r>
    </w:p>
    <w:p>
      <w:pPr>
        <w:numPr>
          <w:ilvl w:val="0"/>
          <w:numId w:val="1001"/>
        </w:numPr>
        <w:pStyle w:val="Compact"/>
      </w:pPr>
      <w:r>
        <w:rPr>
          <w:bCs/>
          <w:b/>
        </w:rPr>
        <w:t xml:space="preserve">Confidentiality:</w:t>
      </w:r>
      <w:r>
        <w:t xml:space="preserve"> </w:t>
      </w:r>
      <w:r>
        <w:t xml:space="preserve">The Auditor and all supporting staff are bound by a Non-Disclosure Agreement (NDA) in accordance with the Brazilian General Data Protection Law (LGPD – Lei Geral de Proteção de Dados, Law No. 13,709/2018). All client data processed in Rio de Janeiro shall be stored on servers located within Brazilian territory.</w:t>
      </w:r>
    </w:p>
    <w:p>
      <w:pPr>
        <w:numPr>
          <w:ilvl w:val="0"/>
          <w:numId w:val="1001"/>
        </w:numPr>
        <w:pStyle w:val="Compact"/>
      </w:pPr>
      <w:r>
        <w:rPr>
          <w:bCs/>
          <w:b/>
        </w:rPr>
        <w:t xml:space="preserve">Scope Changes:</w:t>
      </w:r>
      <w:r>
        <w:t xml:space="preserve"> </w:t>
      </w:r>
      <w:r>
        <w:t xml:space="preserve">Any additional Auditor procedures, extended fieldwork beyond the hours specified, or engagement of satellite offices outside the Rio de Janeiro metropolitan area will be subject to a supplementary Quotation Estimate issued prior to commencement of the additional work.</w:t>
      </w:r>
    </w:p>
    <w:p>
      <w:pPr>
        <w:numPr>
          <w:ilvl w:val="0"/>
          <w:numId w:val="1001"/>
        </w:numPr>
        <w:pStyle w:val="Compact"/>
      </w:pPr>
      <w:r>
        <w:rPr>
          <w:bCs/>
          <w:b/>
        </w:rPr>
        <w:t xml:space="preserve">Dispute Resolution:</w:t>
      </w:r>
      <w:r>
        <w:t xml:space="preserve"> </w:t>
      </w:r>
      <w:r>
        <w:t xml:space="preserve">Any disputes arising from this Quotation Estimate or the subsequent Auditor engagement contract shall be resolved by arbitration under the rules of the CAM-CCBC (Câmara de Arbitragem do Centro de Comércio Brasil-Canadá) seated in Rio de Janeiro, Brazil, or by the competent courts of the city of Rio de Janeiro, RJ, at the client's election.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Rio de Janeiro, government-mandated shutdowns, or regulatory suspensions by the Receita Federal.</w:t>
      </w:r>
    </w:p>
    <w:p>
      <w:pPr>
        <w:pStyle w:val="FirstParagraph"/>
      </w:pPr>
      <w:r>
        <w:t xml:space="preserve">5. Auditor Qualifications &amp; Accreditation</w:t>
      </w:r>
    </w:p>
    <w:p>
      <w:pPr>
        <w:pStyle w:val="BodyText"/>
      </w:pPr>
      <w:r>
        <w:t xml:space="preserve">The lead</w:t>
      </w:r>
      <w:r>
        <w:t xml:space="preserve"> </w:t>
      </w:r>
      <w:r>
        <w:t xml:space="preserve">Auditor</w:t>
      </w:r>
      <w:r>
        <w:t xml:space="preserve"> </w:t>
      </w:r>
      <w:r>
        <w:t xml:space="preserve">assigned to this engagement holds a valid registration with the</w:t>
      </w:r>
      <w:r>
        <w:t xml:space="preserve"> </w:t>
      </w:r>
      <w:r>
        <w:t xml:space="preserve">Conselho Regional de Contadores do Rio de Janeiro</w:t>
      </w:r>
      <w:r>
        <w:t xml:space="preserve"> </w:t>
      </w:r>
      <w:r>
        <w:t xml:space="preserve">(CRC-RJ), is a Chartered Accountant (CA) with over fifteen (15) years of experience in statutory and operational audits for mid-to-large enterprises in Brazil, and is certified in IFRS, SOX, and ISO 19011 audit management. The Auditor team is based in Rio de Janeiro, Brazil, and operates in full compliance with the IBRACON Technical Standards and the ethical guidelines of the Federal Council of Accountants (CFC).</w:t>
      </w:r>
    </w:p>
    <w:p>
      <w:pPr>
        <w:pStyle w:val="BodyText"/>
      </w:pPr>
      <w:r>
        <w:t xml:space="preserve">6. Acceptance &amp; Signatures</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Auditor</w:t>
      </w:r>
      <w:r>
        <w:t xml:space="preserve"> </w:t>
      </w:r>
      <w:r>
        <w:t xml:space="preserve">services in</w:t>
      </w:r>
      <w:r>
        <w:t xml:space="preserve"> </w:t>
      </w:r>
      <w:r>
        <w:t xml:space="preserve">Rio de Janeiro, Brazil</w:t>
      </w:r>
      <w:r>
        <w:t xml:space="preserve"> </w:t>
      </w:r>
      <w:r>
        <w:t xml:space="preserve">has been reviewed, understood, and accepted as a binding basis for the subsequent service contract.</w:t>
      </w:r>
    </w:p>
    <w:p>
      <w:pPr>
        <w:pStyle w:val="BodyText"/>
      </w:pPr>
      <w:r>
        <w:rPr>
          <w:bCs/>
          <w:b/>
        </w:rPr>
        <w:t xml:space="preserve">For Rio de Janeiro Audit &amp; Compliance Services Ltda.</w:t>
      </w:r>
      <w:r>
        <w:br/>
      </w:r>
      <w:r>
        <w:t xml:space="preserve">Name: ______________________________</w:t>
      </w:r>
      <w:r>
        <w:br/>
      </w:r>
      <w:r>
        <w:t xml:space="preserve">Title: Lead Auditor / CRC-RJ No. _______</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Quotation Estimate document was prepared in Rio de Janeiro, Brazil, on 15 June 2025. It is issued in duplicate (original and copy). Document Reference: QE-2025-RJ-0487. © 2025 Rio de Janeiro Audit &amp; Compliance Services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Rio de Janeiro, Brazil</dc:title>
  <dc:creator/>
  <dc:language>en</dc:language>
  <cp:keywords/>
  <dcterms:created xsi:type="dcterms:W3CDTF">2026-10-10T05:11:14Z</dcterms:created>
  <dcterms:modified xsi:type="dcterms:W3CDTF">2026-10-10T05:11:14Z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