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Auditor Services — China Shanghai</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QE-SHA-2025-04782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p>
      <w:pPr>
        <w:pStyle w:val="BodyText"/>
      </w:pPr>
      <w:r>
        <w:rPr>
          <w:bCs/>
          <w:b/>
        </w:rPr>
        <w:t xml:space="preserve">Prepared For:</w:t>
      </w:r>
      <w:r>
        <w:t xml:space="preserve"> </w:t>
      </w:r>
      <w:r>
        <w:t xml:space="preserve">Client Engagement in China Shanghai</w:t>
      </w:r>
    </w:p>
    <w:bookmarkEnd w:id="21"/>
    <w:bookmarkStart w:id="22" w:name="service-provider"/>
    <w:p>
      <w:pPr>
        <w:pStyle w:val="Heading3"/>
      </w:pPr>
      <w:r>
        <w:t xml:space="preserve">Service Provider</w:t>
      </w:r>
    </w:p>
    <w:p>
      <w:pPr>
        <w:pStyle w:val="FirstParagraph"/>
      </w:pPr>
      <w:r>
        <w:rPr>
          <w:bCs/>
          <w:b/>
        </w:rPr>
        <w:t xml:space="preserve">Firm:</w:t>
      </w:r>
      <w:r>
        <w:t xml:space="preserve"> </w:t>
      </w:r>
      <w:r>
        <w:t xml:space="preserve">Shanghai Meridian Audit &amp; Advisory Co., Ltd.</w:t>
      </w:r>
    </w:p>
    <w:p>
      <w:pPr>
        <w:pStyle w:val="BodyText"/>
      </w:pPr>
      <w:r>
        <w:rPr>
          <w:bCs/>
          <w:b/>
        </w:rPr>
        <w:t xml:space="preserve">Address:</w:t>
      </w:r>
      <w:r>
        <w:t xml:space="preserve"> </w:t>
      </w:r>
      <w:r>
        <w:t xml:space="preserve">888 Century Avenue, Pudong New Area, China Shanghai</w:t>
      </w:r>
    </w:p>
    <w:p>
      <w:pPr>
        <w:pStyle w:val="BodyText"/>
      </w:pPr>
      <w:r>
        <w:rPr>
          <w:bCs/>
          <w:b/>
        </w:rPr>
        <w:t xml:space="preserve">License No.:</w:t>
      </w:r>
      <w:r>
        <w:t xml:space="preserve"> </w:t>
      </w:r>
      <w:r>
        <w:t xml:space="preserve">CPA-SH-2019-004521</w:t>
      </w:r>
    </w:p>
    <w:p>
      <w:pPr>
        <w:pStyle w:val="BodyText"/>
      </w:pPr>
      <w:r>
        <w:rPr>
          <w:bCs/>
          <w:b/>
        </w:rPr>
        <w:t xml:space="preserve">Contact:</w:t>
      </w:r>
      <w:r>
        <w:t xml:space="preserve"> </w:t>
      </w:r>
      <w:r>
        <w:t xml:space="preserve">audit@shmeridian.com.cn</w:t>
      </w:r>
    </w:p>
    <w:p>
      <w:pPr>
        <w:pStyle w:val="BodyText"/>
      </w:pPr>
      <w:r>
        <w:rPr>
          <w:bCs/>
          <w:b/>
        </w:rPr>
        <w:t xml:space="preserve">Phone:</w:t>
      </w:r>
      <w:r>
        <w:t xml:space="preserve"> </w:t>
      </w:r>
      <w:r>
        <w:t xml:space="preserve">+86 21 5888 6700</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[Client Legal Entity Name]</w:t>
      </w:r>
    </w:p>
    <w:p>
      <w:pPr>
        <w:pStyle w:val="BodyText"/>
      </w:pPr>
      <w:r>
        <w:rPr>
          <w:bCs/>
          <w:b/>
        </w:rPr>
        <w:t xml:space="preserve">Registered Address:</w:t>
      </w:r>
      <w:r>
        <w:t xml:space="preserve"> </w:t>
      </w:r>
      <w:r>
        <w:t xml:space="preserve">[Address], China Shanghai</w:t>
      </w:r>
    </w:p>
    <w:p>
      <w:pPr>
        <w:pStyle w:val="BodyText"/>
      </w:pPr>
      <w:r>
        <w:rPr>
          <w:bCs/>
          <w:b/>
        </w:rPr>
        <w:t xml:space="preserve">Unified Social Credit Code:</w:t>
      </w:r>
      <w:r>
        <w:t xml:space="preserve"> </w:t>
      </w:r>
      <w:r>
        <w:t xml:space="preserve">[USCC Number]</w:t>
      </w:r>
    </w:p>
    <w:p>
      <w:pPr>
        <w:pStyle w:val="BodyText"/>
      </w:pPr>
      <w:r>
        <w:rPr>
          <w:bCs/>
          <w:b/>
        </w:rPr>
        <w:t xml:space="preserve">Primary Contact:</w:t>
      </w:r>
      <w:r>
        <w:t xml:space="preserve"> </w:t>
      </w:r>
      <w:r>
        <w:t xml:space="preserve">[Name, Title]</w:t>
      </w:r>
    </w:p>
    <w:p>
      <w:pPr>
        <w:pStyle w:val="BodyText"/>
      </w:pPr>
      <w:r>
        <w:rPr>
          <w:bCs/>
          <w:b/>
        </w:rPr>
        <w:t xml:space="preserve">Industry Sector:</w:t>
      </w:r>
      <w:r>
        <w:t xml:space="preserve"> </w:t>
      </w:r>
      <w:r>
        <w:t xml:space="preserve">Manufacturing / Trade / Services</w:t>
      </w:r>
    </w:p>
    <w:bookmarkEnd w:id="23"/>
    <w:bookmarkStart w:id="24" w:name="engagement-reference"/>
    <w:p>
      <w:pPr>
        <w:pStyle w:val="Heading3"/>
      </w:pPr>
      <w:r>
        <w:t xml:space="preserve">Engagement Reference</w:t>
      </w:r>
    </w:p>
    <w:p>
      <w:pPr>
        <w:pStyle w:val="FirstParagraph"/>
      </w:pPr>
      <w:r>
        <w:rPr>
          <w:bCs/>
          <w:b/>
        </w:rPr>
        <w:t xml:space="preserve">Engagement Type:</w:t>
      </w:r>
      <w:r>
        <w:t xml:space="preserve"> </w:t>
      </w:r>
      <w:r>
        <w:t xml:space="preserve">Annual Statutory Audit</w:t>
      </w:r>
    </w:p>
    <w:p>
      <w:pPr>
        <w:pStyle w:val="BodyText"/>
      </w:pPr>
      <w:r>
        <w:rPr>
          <w:bCs/>
          <w:b/>
        </w:rPr>
        <w:t xml:space="preserve">Fiscal Year:</w:t>
      </w:r>
      <w:r>
        <w:t xml:space="preserve"> </w:t>
      </w:r>
      <w:r>
        <w:t xml:space="preserve">1 January 2025 – 31 December 2025</w:t>
      </w:r>
    </w:p>
    <w:p>
      <w:pPr>
        <w:pStyle w:val="BodyText"/>
      </w:pPr>
      <w:r>
        <w:rPr>
          <w:bCs/>
          <w:b/>
        </w:rPr>
        <w:t xml:space="preserve">Regulatory Basis:</w:t>
      </w:r>
      <w:r>
        <w:t xml:space="preserve"> </w:t>
      </w:r>
      <w:r>
        <w:t xml:space="preserve">PRC Accounting Standards (CAS)</w:t>
      </w:r>
    </w:p>
    <w:p>
      <w:pPr>
        <w:pStyle w:val="BodyText"/>
      </w:pPr>
      <w:r>
        <w:rPr>
          <w:bCs/>
          <w:b/>
        </w:rPr>
        <w:t xml:space="preserve">Reporting Standard:</w:t>
      </w:r>
      <w:r>
        <w:t xml:space="preserve"> </w:t>
      </w:r>
      <w:r>
        <w:t xml:space="preserve">Chinese GAAP / IFRS (as applicable)</w:t>
      </w:r>
    </w:p>
    <w:p>
      <w:pPr>
        <w:pStyle w:val="BodyText"/>
      </w:pPr>
      <w:r>
        <w:rPr>
          <w:bCs/>
          <w:b/>
        </w:rPr>
        <w:t xml:space="preserve">Deliverable Deadline:</w:t>
      </w:r>
      <w:r>
        <w:t xml:space="preserve"> </w:t>
      </w:r>
      <w:r>
        <w:t xml:space="preserve">30 April 2026</w:t>
      </w:r>
    </w:p>
    <w:bookmarkEnd w:id="24"/>
    <w:bookmarkStart w:id="25" w:name="scope-of-auditor-services"/>
    <w:p>
      <w:pPr>
        <w:pStyle w:val="Heading2"/>
      </w:pPr>
      <w:r>
        <w:t xml:space="preserve">1. Scope of Auditor Services</w:t>
      </w:r>
    </w:p>
    <w:p>
      <w:pPr>
        <w:pStyle w:val="FirstParagraph"/>
      </w:pPr>
      <w:r>
        <w:t xml:space="preserve">This Quotation Estimate outlines the comprehensive professional services to be rendered by our designated</w:t>
      </w:r>
      <w:r>
        <w:t xml:space="preserve"> </w:t>
      </w:r>
      <w:r>
        <w:t xml:space="preserve">Auditor</w:t>
      </w:r>
      <w:r>
        <w:t xml:space="preserve"> </w:t>
      </w:r>
      <w:r>
        <w:t xml:space="preserve">team for the client's financial statements and related compliance obligations in</w:t>
      </w:r>
      <w:r>
        <w:t xml:space="preserve"> </w:t>
      </w:r>
      <w:r>
        <w:t xml:space="preserve">China Shanghai</w:t>
      </w:r>
      <w:r>
        <w:t xml:space="preserve">. The engagement encompasses the following deliverables:</w:t>
      </w:r>
    </w:p>
    <w:p>
      <w:pPr>
        <w:numPr>
          <w:ilvl w:val="0"/>
          <w:numId w:val="1001"/>
        </w:numPr>
        <w:pStyle w:val="Compact"/>
      </w:pPr>
      <w:r>
        <w:t xml:space="preserve">Full statutory audit of the annual financial statements in accordance with the Company Law of the People's Republic of China and applicable PRC auditing standards.</w:t>
      </w:r>
    </w:p>
    <w:p>
      <w:pPr>
        <w:numPr>
          <w:ilvl w:val="0"/>
          <w:numId w:val="1001"/>
        </w:numPr>
        <w:pStyle w:val="Compact"/>
      </w:pPr>
      <w:r>
        <w:t xml:space="preserve">Review of internal control frameworks, risk assessment procedures, and compliance with local tax regulations administered by the Shanghai Municipal Tax Bureau.</w:t>
      </w:r>
    </w:p>
    <w:p>
      <w:pPr>
        <w:numPr>
          <w:ilvl w:val="0"/>
          <w:numId w:val="1001"/>
        </w:numPr>
        <w:pStyle w:val="Compact"/>
      </w:pPr>
      <w:r>
        <w:t xml:space="preserve">Verification of fixed asset registers, inventory valuations, and intercompany transaction reconciliations specific to operations within China Shanghai.</w:t>
      </w:r>
    </w:p>
    <w:p>
      <w:pPr>
        <w:numPr>
          <w:ilvl w:val="0"/>
          <w:numId w:val="1001"/>
        </w:numPr>
        <w:pStyle w:val="Compact"/>
      </w:pPr>
      <w:r>
        <w:t xml:space="preserve">Preparation and issuance of the independent Auditor's Report, including management letter and key audit matters disclosure.</w:t>
      </w:r>
    </w:p>
    <w:p>
      <w:pPr>
        <w:numPr>
          <w:ilvl w:val="0"/>
          <w:numId w:val="1001"/>
        </w:numPr>
        <w:pStyle w:val="Compact"/>
      </w:pPr>
      <w:r>
        <w:t xml:space="preserve">Assistance with filing requirements before the State Administration for Market Regulation (SAMR) and relevant local authorities in China Shanghai.</w:t>
      </w:r>
    </w:p>
    <w:p>
      <w:pPr>
        <w:numPr>
          <w:ilvl w:val="0"/>
          <w:numId w:val="1001"/>
        </w:numPr>
        <w:pStyle w:val="Compact"/>
      </w:pPr>
      <w:r>
        <w:t xml:space="preserve">Advisory support on transfer pricing documentation and cross-border transaction compliance where applicable.</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Units</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Planning &amp; Risk Assessment Phase (Auditor engagement team of 4 professionals)</w:t>
            </w:r>
          </w:p>
        </w:tc>
        <w:tc>
          <w:tcPr/>
          <w:p>
            <w:pPr>
              <w:pStyle w:val="Compact"/>
              <w:jc w:val="left"/>
            </w:pPr>
            <w:r>
              <w:t xml:space="preserve">10 working days</w:t>
            </w:r>
          </w:p>
        </w:tc>
        <w:tc>
          <w:tcPr/>
          <w:p>
            <w:pPr>
              <w:pStyle w:val="Compact"/>
              <w:jc w:val="left"/>
            </w:pPr>
            <w:r>
              <w:t xml:space="preserve">3,200</w:t>
            </w:r>
          </w:p>
        </w:tc>
        <w:tc>
          <w:tcPr/>
          <w:p>
            <w:pPr>
              <w:pStyle w:val="Compact"/>
              <w:jc w:val="left"/>
            </w:pPr>
            <w:r>
              <w:t xml:space="preserve">32,000.00</w:t>
            </w:r>
          </w:p>
        </w:tc>
      </w:tr>
      <w:tr>
        <w:tc>
          <w:tcPr/>
          <w:p>
            <w:pPr>
              <w:pStyle w:val="Compact"/>
              <w:jc w:val="left"/>
            </w:pPr>
            <w:r>
              <w:t xml:space="preserve">2</w:t>
            </w:r>
          </w:p>
        </w:tc>
        <w:tc>
          <w:tcPr/>
          <w:p>
            <w:pPr>
              <w:pStyle w:val="Compact"/>
              <w:jc w:val="left"/>
            </w:pPr>
            <w:r>
              <w:t xml:space="preserve">Fieldwork &amp; Substantive Testing (on-site at China Shanghai premises)</w:t>
            </w:r>
          </w:p>
        </w:tc>
        <w:tc>
          <w:tcPr/>
          <w:p>
            <w:pPr>
              <w:pStyle w:val="Compact"/>
              <w:jc w:val="left"/>
            </w:pPr>
            <w:r>
              <w:t xml:space="preserve">25 working days</w:t>
            </w:r>
          </w:p>
        </w:tc>
        <w:tc>
          <w:tcPr/>
          <w:p>
            <w:pPr>
              <w:pStyle w:val="Compact"/>
              <w:jc w:val="left"/>
            </w:pPr>
            <w:r>
              <w:t xml:space="preserve">4,500</w:t>
            </w:r>
          </w:p>
        </w:tc>
        <w:tc>
          <w:tcPr/>
          <w:p>
            <w:pPr>
              <w:pStyle w:val="Compact"/>
              <w:jc w:val="left"/>
            </w:pPr>
            <w:r>
              <w:t xml:space="preserve">112,500.00</w:t>
            </w:r>
          </w:p>
        </w:tc>
      </w:tr>
      <w:tr>
        <w:tc>
          <w:tcPr/>
          <w:p>
            <w:pPr>
              <w:pStyle w:val="Compact"/>
              <w:jc w:val="left"/>
            </w:pPr>
            <w:r>
              <w:t xml:space="preserve">3</w:t>
            </w:r>
          </w:p>
        </w:tc>
        <w:tc>
          <w:tcPr/>
          <w:p>
            <w:pPr>
              <w:pStyle w:val="Compact"/>
              <w:jc w:val="left"/>
            </w:pPr>
            <w:r>
              <w:t xml:space="preserve">Internal Control Review &amp; Compliance Verification</w:t>
            </w:r>
          </w:p>
        </w:tc>
        <w:tc>
          <w:tcPr/>
          <w:p>
            <w:pPr>
              <w:pStyle w:val="Compact"/>
              <w:jc w:val="left"/>
            </w:pPr>
            <w:r>
              <w:t xml:space="preserve">8 working days</w:t>
            </w:r>
          </w:p>
        </w:tc>
        <w:tc>
          <w:tcPr/>
          <w:p>
            <w:pPr>
              <w:pStyle w:val="Compact"/>
              <w:jc w:val="left"/>
            </w:pPr>
            <w:r>
              <w:t xml:space="preserve">3,800</w:t>
            </w:r>
          </w:p>
        </w:tc>
        <w:tc>
          <w:tcPr/>
          <w:p>
            <w:pPr>
              <w:pStyle w:val="Compact"/>
              <w:jc w:val="left"/>
            </w:pPr>
            <w:r>
              <w:t xml:space="preserve">30,400.00</w:t>
            </w:r>
          </w:p>
        </w:tc>
      </w:tr>
      <w:tr>
        <w:tc>
          <w:tcPr/>
          <w:p>
            <w:pPr>
              <w:pStyle w:val="Compact"/>
              <w:jc w:val="left"/>
            </w:pPr>
            <w:r>
              <w:t xml:space="preserve">4</w:t>
            </w:r>
          </w:p>
        </w:tc>
        <w:tc>
          <w:tcPr/>
          <w:p>
            <w:pPr>
              <w:pStyle w:val="Compact"/>
              <w:jc w:val="left"/>
            </w:pPr>
            <w:r>
              <w:t xml:space="preserve">Fixed Asset &amp; Inventory Physical Verification</w:t>
            </w:r>
          </w:p>
        </w:tc>
        <w:tc>
          <w:tcPr/>
          <w:p>
            <w:pPr>
              <w:pStyle w:val="Compact"/>
              <w:jc w:val="left"/>
            </w:pPr>
            <w:r>
              <w:t xml:space="preserve">5 working days</w:t>
            </w:r>
          </w:p>
        </w:tc>
        <w:tc>
          <w:tcPr/>
          <w:p>
            <w:pPr>
              <w:pStyle w:val="Compact"/>
              <w:jc w:val="left"/>
            </w:pPr>
            <w:r>
              <w:t xml:space="preserve">4,200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Report Drafting, Review &amp; Final Auditor's Report Issuance</w:t>
            </w:r>
          </w:p>
        </w:tc>
        <w:tc>
          <w:tcPr/>
          <w:p>
            <w:pPr>
              <w:pStyle w:val="Compact"/>
              <w:jc w:val="left"/>
            </w:pPr>
            <w:r>
              <w:t xml:space="preserve">12 working days</w:t>
            </w:r>
          </w:p>
        </w:tc>
        <w:tc>
          <w:tcPr/>
          <w:p>
            <w:pPr>
              <w:pStyle w:val="Compact"/>
              <w:jc w:val="left"/>
            </w:pPr>
            <w:r>
              <w:t xml:space="preserve">3,500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Regulatory Filing &amp; Post-Audit Advisory (China Shanghai authorities)</w:t>
            </w:r>
          </w:p>
        </w:tc>
        <w:tc>
          <w:tcPr/>
          <w:p>
            <w:pPr>
              <w:pStyle w:val="Compact"/>
              <w:jc w:val="left"/>
            </w:pPr>
            <w:r>
              <w:t xml:space="preserve">5 working days</w:t>
            </w:r>
          </w:p>
        </w:tc>
        <w:tc>
          <w:tcPr/>
          <w:p>
            <w:pPr>
              <w:pStyle w:val="Compact"/>
              <w:jc w:val="left"/>
            </w:pPr>
            <w:r>
              <w:t xml:space="preserve">2,800</w:t>
            </w:r>
          </w:p>
        </w:tc>
        <w:tc>
          <w:tcPr/>
          <w:p>
            <w:pPr>
              <w:pStyle w:val="Compact"/>
              <w:jc w:val="left"/>
            </w:pPr>
            <w:r>
              <w:t xml:space="preserve">14,000.00</w:t>
            </w:r>
          </w:p>
        </w:tc>
      </w:tr>
      <w:tr>
        <w:tc>
          <w:tcPr/>
          <w:p>
            <w:pPr>
              <w:pStyle w:val="Compact"/>
              <w:jc w:val="left"/>
            </w:pPr>
            <w:r>
              <w:t xml:space="preserve">7</w:t>
            </w:r>
          </w:p>
        </w:tc>
        <w:tc>
          <w:tcPr/>
          <w:p>
            <w:pPr>
              <w:pStyle w:val="Compact"/>
              <w:jc w:val="left"/>
            </w:pPr>
            <w:r>
              <w:t xml:space="preserve">Travel, Accommodation &amp; Local Logistics within China Shanghai</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Applicable Value-Added Tax (VAT) at 6% (Professional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18,114.00</w:t>
            </w:r>
          </w:p>
        </w:tc>
      </w:tr>
      <w:tr>
        <w:tc>
          <w:tcPr>
            <w:gridSpan w:val="4"/>
          </w:tcPr>
          <w:p>
            <w:pPr>
              <w:pStyle w:val="Compact"/>
              <w:jc w:val="right"/>
            </w:pPr>
            <w:r>
              <w:t xml:space="preserve">TOTAL QUOTATION ESTIMATE AMOUNT</w:t>
            </w:r>
          </w:p>
        </w:tc>
        <w:tc>
          <w:tcPr/>
          <w:p>
            <w:pPr>
              <w:pStyle w:val="Compact"/>
              <w:jc w:val="left"/>
            </w:pPr>
            <w:r>
              <w:rPr>
                <w:bCs/>
                <w:b/>
              </w:rPr>
              <w:t xml:space="preserve">CNY 288,014.00</w:t>
            </w:r>
          </w:p>
        </w:tc>
      </w:tr>
    </w:tbl>
    <w:p>
      <w:pPr>
        <w:pStyle w:val="BodyText"/>
      </w:pPr>
      <w:r>
        <w:rPr>
          <w:bCs/>
          <w:b/>
        </w:rPr>
        <w:t xml:space="preserve">Note:</w:t>
      </w:r>
      <w:r>
        <w:t xml:space="preserve"> </w:t>
      </w:r>
      <w:r>
        <w:t xml:space="preserve">This Quotation Estimate is based on the assumption that the client's financial records are maintained in accordance with PRC Accounting Standards and are readily accessible at the registered office in China Shanghai. Any material deviation in scope, additional entities, or extended timelines will be subject to a supplementary Quotation Estimate issued prior to commencement of the additional work.</w:t>
      </w:r>
    </w:p>
    <w:bookmarkEnd w:id="26"/>
    <w:bookmarkStart w:id="27" w:name="terms-conditions"/>
    <w:p>
      <w:pPr>
        <w:pStyle w:val="Heading2"/>
      </w:pPr>
      <w:r>
        <w:t xml:space="preserve">3. Terms &amp; Conditions</w:t>
      </w:r>
    </w:p>
    <w:p>
      <w:pPr>
        <w:pStyle w:val="FirstParagraph"/>
      </w:pPr>
      <w:r>
        <w:rPr>
          <w:bCs/>
          <w:b/>
        </w:rPr>
        <w:t xml:space="preserve">3.1 Validity:</w:t>
      </w:r>
      <w:r>
        <w:t xml:space="preserve"> </w:t>
      </w:r>
      <w:r>
        <w:t xml:space="preserve">This Quotation Estimate shall remain valid for thirty (30) calendar days from the date of issue. Upon expiry, the Auditor firm reserves the right to revise fees to reflect current market conditions in China Shanghai.</w:t>
      </w:r>
    </w:p>
    <w:p>
      <w:pPr>
        <w:pStyle w:val="BodyText"/>
      </w:pPr>
      <w:r>
        <w:rPr>
          <w:bCs/>
          <w:b/>
        </w:rPr>
        <w:t xml:space="preserve">3.2 Payment Schedule:</w:t>
      </w:r>
      <w:r>
        <w:t xml:space="preserve"> </w:t>
      </w:r>
      <w:r>
        <w:t xml:space="preserve">40% advance payment upon execution of the engagement letter; 40% upon completion of fieldwork; 20% upon delivery of the final Auditor's Report. All payments shall be made via bank transfer to the firm's designated account in China Shanghai.</w:t>
      </w:r>
    </w:p>
    <w:p>
      <w:pPr>
        <w:pStyle w:val="BodyText"/>
      </w:pPr>
      <w:r>
        <w:rPr>
          <w:bCs/>
          <w:b/>
        </w:rPr>
        <w:t xml:space="preserve">3.3 Confidentiality:</w:t>
      </w:r>
      <w:r>
        <w:t xml:space="preserve"> </w:t>
      </w:r>
      <w:r>
        <w:t xml:space="preserve">The Auditor and all engagement team members shall maintain strict confidentiality of all client information in compliance with the PRC Personal Information Protection Law (PIPL) and the firm's internal data governance policies.</w:t>
      </w:r>
    </w:p>
    <w:p>
      <w:pPr>
        <w:pStyle w:val="BodyText"/>
      </w:pPr>
      <w:r>
        <w:rPr>
          <w:bCs/>
          <w:b/>
        </w:rPr>
        <w:t xml:space="preserve">3.4 Independence:</w:t>
      </w:r>
      <w:r>
        <w:t xml:space="preserve"> </w:t>
      </w:r>
      <w:r>
        <w:t xml:space="preserve">The Auditor confirms that no non-audit services creating a conflict of interest have been or will be provided to the client during the engagement period, in accordance with the independence requirements of the Chinese Institute of Certified Public Accountants (CICPA).</w:t>
      </w:r>
    </w:p>
    <w:p>
      <w:pPr>
        <w:pStyle w:val="BodyText"/>
      </w:pPr>
      <w:r>
        <w:rPr>
          <w:bCs/>
          <w:b/>
        </w:rPr>
        <w:t xml:space="preserve">3.5 Liability &amp; Insurance:</w:t>
      </w:r>
      <w:r>
        <w:t xml:space="preserve"> </w:t>
      </w:r>
      <w:r>
        <w:t xml:space="preserve">The Auditor firm maintains professional indemnity insurance with a coverage limit of CNY 10,000,000 per claim. Liability is limited to the total fees paid under this Quotation Estimate unless gross negligence or willful misconduct is established.</w:t>
      </w:r>
    </w:p>
    <w:p>
      <w:pPr>
        <w:pStyle w:val="BodyText"/>
      </w:pPr>
      <w:r>
        <w:rPr>
          <w:bCs/>
          <w:b/>
        </w:rPr>
        <w:t xml:space="preserve">3.6 Governing Law:</w:t>
      </w:r>
      <w:r>
        <w:t xml:space="preserve"> </w:t>
      </w:r>
      <w:r>
        <w:t xml:space="preserve">This Quotation Estimate and the resulting engagement shall be governed by and construed in accordance with the laws of the People's Republic of China. Any disputes shall be resolved through arbitration at the Shanghai International Arbitration Center (SHIAC).</w:t>
      </w:r>
    </w:p>
    <w:p>
      <w:pPr>
        <w:pStyle w:val="BodyText"/>
      </w:pPr>
      <w:r>
        <w:rPr>
          <w:bCs/>
          <w:b/>
        </w:rPr>
        <w:t xml:space="preserve">3.7 Force Majeure:</w:t>
      </w:r>
      <w:r>
        <w:t xml:space="preserve"> </w:t>
      </w:r>
      <w:r>
        <w:t xml:space="preserve">Neither party shall be liable for delays caused by events beyond reasonable control, including but not limited to government-mandated closures, natural disasters, or regulatory changes affecting operations in China Shanghai.</w:t>
      </w:r>
    </w:p>
    <w:bookmarkEnd w:id="27"/>
    <w:bookmarkStart w:id="28" w:name="acceptance-authorization"/>
    <w:p>
      <w:pPr>
        <w:pStyle w:val="Heading2"/>
      </w:pPr>
      <w:r>
        <w:t xml:space="preserve">4. Acceptance &amp; Authorization</w:t>
      </w:r>
    </w:p>
    <w:p>
      <w:pPr>
        <w:pStyle w:val="FirstParagraph"/>
      </w:pPr>
      <w:r>
        <w:t xml:space="preserve">By signing below, the client acknowledges and accepts the terms, scope, and fees set forth in this Quotation Estimate for the engagement of the Auditor services in China Shanghai. The signed document shall constitute a binding engagement letter upon countersignature by the Auditor firm.</w:t>
      </w:r>
    </w:p>
    <w:p>
      <w:pPr>
        <w:pStyle w:val="BodyText"/>
      </w:pPr>
      <w:r>
        <w:rPr>
          <w:bCs/>
          <w:b/>
        </w:rPr>
        <w:t xml:space="preserve">For the Client</w:t>
      </w:r>
      <w:r>
        <w:br/>
      </w:r>
      <w:r>
        <w:t xml:space="preserve">Name / Title / Date / Company Seal</w:t>
      </w:r>
    </w:p>
    <w:p>
      <w:pPr>
        <w:pStyle w:val="BodyText"/>
      </w:pPr>
      <w:r>
        <w:rPr>
          <w:bCs/>
          <w:b/>
        </w:rPr>
        <w:t xml:space="preserve">For the Auditor Firm</w:t>
      </w:r>
      <w:r>
        <w:br/>
      </w:r>
      <w:r>
        <w:t xml:space="preserve">Name / Title / Date / Firm Seal</w:t>
      </w:r>
    </w:p>
    <w:p>
      <w:pPr>
        <w:pStyle w:val="BodyText"/>
      </w:pPr>
      <w:r>
        <w:t xml:space="preserve">Shanghai Meridian Audit &amp; Advisory Co., Ltd. | 888 Century Avenue, Pudong New Area, China Shanghai 200122 | License: CPA-SH-2019-004521</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QE-SHA-2025-04782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China Shanghai</dc:title>
  <dc:creator/>
  <dc:language>en</dc:language>
  <cp:keywords/>
  <dcterms:created xsi:type="dcterms:W3CDTF">2026-10-10T05:05:41Z</dcterms:created>
  <dcterms:modified xsi:type="dcterms:W3CDTF">2026-10-10T05:05:41Z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