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rPr>
          <w:bCs/>
          <w:b/>
        </w:rPr>
        <w:t xml:space="preserve">Alexandria Audit &amp; Advisory Partners</w:t>
      </w:r>
    </w:p>
    <w:p>
      <w:pPr>
        <w:pStyle w:val="BodyText"/>
      </w:pPr>
      <w:r>
        <w:t xml:space="preserve">12 Corniche El-Nil Street, Smouha District, Egypt Alexandria, 21543</w:t>
      </w:r>
    </w:p>
    <w:p>
      <w:pPr>
        <w:pStyle w:val="BodyText"/>
      </w:pPr>
      <w:r>
        <w:t xml:space="preserve">Tel: +20 3 482 5567 | Email: info@alexandriaauditpartners.com</w:t>
      </w:r>
    </w:p>
    <w:p>
      <w:pPr>
        <w:pStyle w:val="BodyText"/>
      </w:pPr>
      <w:r>
        <w:t xml:space="preserve">Commercial Registration No. 45821 | Tax ID: 592-384-716</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Egyptian Pound (EGP)</w:t>
            </w:r>
          </w:p>
        </w:tc>
      </w:tr>
      <w:tr>
        <w:tc>
          <w:tcPr/>
          <w:p>
            <w:pPr>
              <w:pStyle w:val="Compact"/>
              <w:jc w:val="left"/>
            </w:pPr>
            <w:r>
              <w:t xml:space="preserve">Prepared For</w:t>
            </w:r>
          </w:p>
        </w:tc>
        <w:tc>
          <w:tcPr/>
          <w:p>
            <w:pPr>
              <w:pStyle w:val="Compact"/>
              <w:jc w:val="left"/>
            </w:pPr>
            <w:r>
              <w:t xml:space="preserve">Medina Trading &amp; Logistics Co., Ltd.</w:t>
            </w:r>
          </w:p>
        </w:tc>
        <w:tc>
          <w:tcPr/>
          <w:p>
            <w:pPr>
              <w:pStyle w:val="Compact"/>
              <w:jc w:val="left"/>
            </w:pPr>
            <w:r>
              <w:t xml:space="preserve">Client Reference</w:t>
            </w:r>
          </w:p>
        </w:tc>
        <w:tc>
          <w:tcPr/>
          <w:p>
            <w:pPr>
              <w:pStyle w:val="Compact"/>
              <w:jc w:val="left"/>
            </w:pPr>
            <w:r>
              <w:t xml:space="preserve">MTL-2025-AUD</w:t>
            </w:r>
          </w:p>
        </w:tc>
      </w:tr>
      <w:tr>
        <w:tc>
          <w:tcPr/>
          <w:p>
            <w:pPr>
              <w:pStyle w:val="Compact"/>
              <w:jc w:val="left"/>
            </w:pPr>
            <w:r>
              <w:t xml:space="preserve">Client Address</w:t>
            </w:r>
          </w:p>
        </w:tc>
        <w:tc>
          <w:tcPr/>
          <w:p>
            <w:pPr>
              <w:pStyle w:val="Compact"/>
              <w:jc w:val="left"/>
            </w:pPr>
            <w:r>
              <w:t xml:space="preserve">48 El-Montazah Road, East Alexandria, Egypt Alexandria</w:t>
            </w:r>
          </w:p>
        </w:tc>
        <w:tc>
          <w:tcPr/>
          <w:p>
            <w:pPr>
              <w:pStyle w:val="Compact"/>
              <w:jc w:val="left"/>
            </w:pPr>
            <w:r>
              <w:t xml:space="preserve">Contact Person</w:t>
            </w:r>
          </w:p>
        </w:tc>
        <w:tc>
          <w:tcPr/>
          <w:p>
            <w:pPr>
              <w:pStyle w:val="Compact"/>
              <w:jc w:val="left"/>
            </w:pPr>
            <w:r>
              <w:t xml:space="preserve">Mr. Hassan El-Sayed, CFO</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Alexandria Audit &amp; Advisory Partners to provide a comprehensive and transparent financial breakdown for the engagement of a certified</w:t>
      </w:r>
      <w:r>
        <w:t xml:space="preserve"> </w:t>
      </w:r>
      <w:r>
        <w:t xml:space="preserve">Auditor</w:t>
      </w:r>
      <w:r>
        <w:t xml:space="preserve"> </w:t>
      </w:r>
      <w:r>
        <w:t xml:space="preserve">to perform statutory and internal audit services for Medina Trading &amp; Logistics Co., Ltd. This document serves as a binding commercial proposal for the scope of work described herein, tailored specifically to the regulatory and operational environment of</w:t>
      </w:r>
      <w:r>
        <w:t xml:space="preserve"> </w:t>
      </w:r>
      <w:r>
        <w:t xml:space="preserve">Egypt Alexandria</w:t>
      </w:r>
      <w:r>
        <w:t xml:space="preserve">. All pricing, deliverables, and timelines outlined in this</w:t>
      </w:r>
      <w:r>
        <w:t xml:space="preserve"> </w:t>
      </w:r>
      <w:r>
        <w:t xml:space="preserve">Quotation Estimate</w:t>
      </w:r>
      <w:r>
        <w:t xml:space="preserve"> </w:t>
      </w:r>
      <w:r>
        <w:t xml:space="preserve">reflect the current market rates applicable to professional</w:t>
      </w:r>
      <w:r>
        <w:t xml:space="preserve"> </w:t>
      </w:r>
      <w:r>
        <w:t xml:space="preserve">Auditor</w:t>
      </w:r>
      <w:r>
        <w:t xml:space="preserve"> </w:t>
      </w:r>
      <w:r>
        <w:t xml:space="preserve">engagements in the Alexandria metropolitan area and are subject to the terms and conditions stated below.</w:t>
      </w:r>
    </w:p>
    <w:bookmarkEnd w:id="21"/>
    <w:bookmarkStart w:id="22" w:name="scope-of-work-auditor-engagement"/>
    <w:p>
      <w:pPr>
        <w:pStyle w:val="Heading2"/>
      </w:pPr>
      <w:r>
        <w:t xml:space="preserve">2. Scope of Work – Auditor Engagement</w:t>
      </w:r>
    </w:p>
    <w:p>
      <w:pPr>
        <w:pStyle w:val="FirstParagraph"/>
      </w:pPr>
      <w:r>
        <w:t xml:space="preserve">The</w:t>
      </w:r>
      <w:r>
        <w:t xml:space="preserve"> </w:t>
      </w:r>
      <w:r>
        <w:t xml:space="preserve">Auditor</w:t>
      </w:r>
      <w:r>
        <w:t xml:space="preserve"> </w:t>
      </w:r>
      <w:r>
        <w:t xml:space="preserve">assigned to this engagement will be a Chartered Accountant (CPA) licensed by the Egyptian Financial Regulatory Authority (FRA) with a minimum of twelve (12) years of experience in auditing multinational and domestic trading enterprises operating within</w:t>
      </w:r>
      <w:r>
        <w:t xml:space="preserve"> </w:t>
      </w:r>
      <w:r>
        <w:t xml:space="preserve">Egypt Alexandria</w:t>
      </w:r>
      <w:r>
        <w:t xml:space="preserve">. The scope of the</w:t>
      </w:r>
      <w:r>
        <w:t xml:space="preserve"> </w:t>
      </w:r>
      <w:r>
        <w:t xml:space="preserve">Auditor</w:t>
      </w:r>
      <w:r>
        <w:t xml:space="preserve">'s responsibilities under this</w:t>
      </w:r>
      <w:r>
        <w:t xml:space="preserve"> </w:t>
      </w:r>
      <w:r>
        <w:t xml:space="preserve">Quotation Estimate</w:t>
      </w:r>
      <w:r>
        <w:t xml:space="preserve"> </w:t>
      </w:r>
      <w:r>
        <w:t xml:space="preserve">includes, but is not limited to, the following:</w:t>
      </w:r>
    </w:p>
    <w:p>
      <w:pPr>
        <w:numPr>
          <w:ilvl w:val="0"/>
          <w:numId w:val="1001"/>
        </w:numPr>
        <w:pStyle w:val="Compact"/>
      </w:pPr>
      <w:r>
        <w:t xml:space="preserve">Conducting a full statutory financial audit of the fiscal year ending 31 December 2025 in compliance with Egyptian Accounting Standards (EAS) and International Financial Reporting Standards (IFRS) as adopted in</w:t>
      </w:r>
      <w:r>
        <w:t xml:space="preserve"> </w:t>
      </w:r>
      <w:r>
        <w:t xml:space="preserve">Egypt Alexandria</w:t>
      </w:r>
      <w:r>
        <w:t xml:space="preserve">.</w:t>
      </w:r>
    </w:p>
    <w:p>
      <w:pPr>
        <w:numPr>
          <w:ilvl w:val="0"/>
          <w:numId w:val="1001"/>
        </w:numPr>
        <w:pStyle w:val="Compact"/>
      </w:pPr>
      <w:r>
        <w:t xml:space="preserve">Performing internal control assessments across all operational departments of the client, including procurement, inventory management, logistics, and accounts payable/receivable.</w:t>
      </w:r>
    </w:p>
    <w:p>
      <w:pPr>
        <w:numPr>
          <w:ilvl w:val="0"/>
          <w:numId w:val="1001"/>
        </w:numPr>
        <w:pStyle w:val="Compact"/>
      </w:pPr>
      <w:r>
        <w:t xml:space="preserve">Reviewing and verifying the accuracy of tax filings submitted to the Egyptian Tax Authority, Alexandria Regional Office, including Value Added Tax (VAT), Corporate Income Tax, and Withholding Tax declarations.</w:t>
      </w:r>
    </w:p>
    <w:p>
      <w:pPr>
        <w:numPr>
          <w:ilvl w:val="0"/>
          <w:numId w:val="1001"/>
        </w:numPr>
        <w:pStyle w:val="Compact"/>
      </w:pPr>
      <w:r>
        <w:t xml:space="preserve">Providing a detailed management letter identifying material weaknesses, compliance gaps, and actionable recommendations for process improvement.</w:t>
      </w:r>
    </w:p>
    <w:p>
      <w:pPr>
        <w:numPr>
          <w:ilvl w:val="0"/>
          <w:numId w:val="1001"/>
        </w:numPr>
        <w:pStyle w:val="Compact"/>
      </w:pPr>
      <w:r>
        <w:t xml:space="preserve">Issuing an independent audit opinion letter suitable for submission to the Egyptian Commercial Registry and the client's banking partners in</w:t>
      </w:r>
      <w:r>
        <w:t xml:space="preserve"> </w:t>
      </w:r>
      <w:r>
        <w:t xml:space="preserve">Egypt Alexandria</w:t>
      </w:r>
      <w:r>
        <w:t xml:space="preserve">.</w:t>
      </w:r>
    </w:p>
    <w:p>
      <w:pPr>
        <w:numPr>
          <w:ilvl w:val="0"/>
          <w:numId w:val="1001"/>
        </w:numPr>
        <w:pStyle w:val="Compact"/>
      </w:pPr>
      <w:r>
        <w:t xml:space="preserve">Attending up to three (3) board of directors meetings to present audit findings and answer questions regarding the</w:t>
      </w:r>
      <w:r>
        <w:t xml:space="preserve"> </w:t>
      </w:r>
      <w:r>
        <w:t xml:space="preserve">Auditor</w:t>
      </w:r>
      <w:r>
        <w:t xml:space="preserve">'s observations.</w:t>
      </w:r>
    </w:p>
    <w:p>
      <w:pPr>
        <w:numPr>
          <w:ilvl w:val="0"/>
          <w:numId w:val="1001"/>
        </w:numPr>
        <w:pStyle w:val="Compact"/>
      </w:pPr>
      <w:r>
        <w:t xml:space="preserve">Providing post-audit advisory support for a period of thirty (30) days following the issuance of the final audit report.</w:t>
      </w:r>
    </w:p>
    <w:bookmarkEnd w:id="22"/>
    <w:bookmarkStart w:id="23" w:name="Xa45cd0d1695c29f1235dd35e1eed89e9dcf9ffe"/>
    <w:p>
      <w:pPr>
        <w:pStyle w:val="Heading2"/>
      </w:pPr>
      <w:r>
        <w:t xml:space="preserve">3. Detailed Pricing –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Statutory Financial Audit – Full Year (Auditor &amp; Senior Team)</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Internal Control Assessment &amp; Compliance Review</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Tax Filing Verification – Alexandria Regional Tax Authority</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Management Letter &amp; Board Presentation (3 Sessions)</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05</w:t>
            </w:r>
          </w:p>
        </w:tc>
        <w:tc>
          <w:tcPr/>
          <w:p>
            <w:pPr>
              <w:pStyle w:val="Compact"/>
              <w:jc w:val="left"/>
            </w:pPr>
            <w:r>
              <w:t xml:space="preserve">Post-Audit Advisory Support (30 Days)</w:t>
            </w:r>
          </w:p>
        </w:tc>
        <w:tc>
          <w:tcPr/>
          <w:p>
            <w:pPr>
              <w:pStyle w:val="Compact"/>
              <w:jc w:val="left"/>
            </w:pPr>
            <w:r>
              <w:t xml:space="preserve">Month</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06</w:t>
            </w:r>
          </w:p>
        </w:tc>
        <w:tc>
          <w:tcPr/>
          <w:p>
            <w:pPr>
              <w:pStyle w:val="Compact"/>
              <w:jc w:val="left"/>
            </w:pPr>
            <w:r>
              <w:t xml:space="preserve">Travel &amp; Local Transportation within Egypt Alexandria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Professional Indemnity Insurance &amp; Regulatory Fees (FRA)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gridSpan w:val="5"/>
          </w:tcPr>
          <w:p>
            <w:pPr>
              <w:pStyle w:val="Compact"/>
              <w:jc w:val="left"/>
            </w:pPr>
            <w:r>
              <w:t xml:space="preserve">Subtotal (EGP)</w:t>
            </w:r>
          </w:p>
        </w:tc>
        <w:tc>
          <w:tcPr/>
          <w:p>
            <w:pPr>
              <w:pStyle w:val="Compact"/>
              <w:jc w:val="left"/>
            </w:pPr>
            <w:r>
              <w:t xml:space="preserve">415,000</w:t>
            </w:r>
          </w:p>
        </w:tc>
      </w:tr>
      <w:tr>
        <w:tc>
          <w:tcPr>
            <w:gridSpan w:val="5"/>
          </w:tcPr>
          <w:p>
            <w:pPr>
              <w:pStyle w:val="Compact"/>
              <w:jc w:val="left"/>
            </w:pPr>
            <w:r>
              <w:t xml:space="preserve">VAT @ 14% (Egyptian Tax Authority)</w:t>
            </w:r>
          </w:p>
        </w:tc>
        <w:tc>
          <w:tcPr/>
          <w:p>
            <w:pPr>
              <w:pStyle w:val="Compact"/>
              <w:jc w:val="left"/>
            </w:pPr>
            <w:r>
              <w:t xml:space="preserve">58,100</w:t>
            </w:r>
          </w:p>
        </w:tc>
      </w:tr>
      <w:tr>
        <w:tc>
          <w:tcPr>
            <w:gridSpan w:val="5"/>
          </w:tcPr>
          <w:p>
            <w:pPr>
              <w:pStyle w:val="Compact"/>
              <w:jc w:val="left"/>
            </w:pPr>
            <w:r>
              <w:t xml:space="preserve">Grand Total (EGP)</w:t>
            </w:r>
          </w:p>
        </w:tc>
        <w:tc>
          <w:tcPr/>
          <w:p>
            <w:pPr>
              <w:pStyle w:val="Compact"/>
              <w:jc w:val="left"/>
            </w:pPr>
            <w:r>
              <w:t xml:space="preserve">473,100</w:t>
            </w:r>
          </w:p>
        </w:tc>
      </w:tr>
    </w:tbl>
    <w:bookmarkEnd w:id="23"/>
    <w:bookmarkStart w:id="24" w:name="payment-terms"/>
    <w:p>
      <w:pPr>
        <w:pStyle w:val="Heading2"/>
      </w:pPr>
      <w:r>
        <w:t xml:space="preserve">4. Payment Terms</w:t>
      </w:r>
    </w:p>
    <w:p>
      <w:pPr>
        <w:pStyle w:val="FirstParagraph"/>
      </w:pPr>
      <w:r>
        <w:rPr>
          <w:bCs/>
          <w:b/>
        </w:rPr>
        <w:t xml:space="preserve">4.1</w:t>
      </w:r>
      <w:r>
        <w:t xml:space="preserve"> </w:t>
      </w:r>
      <w:r>
        <w:t xml:space="preserve">– A non-refundable advance payment of forty percent (40%) of the total</w:t>
      </w:r>
      <w:r>
        <w:t xml:space="preserve"> </w:t>
      </w:r>
      <w:r>
        <w:t xml:space="preserve">Quotation Estimate</w:t>
      </w:r>
      <w:r>
        <w:t xml:space="preserve"> </w:t>
      </w:r>
      <w:r>
        <w:t xml:space="preserve">value, amounting to EGP 189,240, shall be due within seven (7) business days of the client's written acceptance of this document.</w:t>
      </w:r>
    </w:p>
    <w:p>
      <w:pPr>
        <w:pStyle w:val="BodyText"/>
      </w:pPr>
      <w:r>
        <w:rPr>
          <w:bCs/>
          <w:b/>
        </w:rPr>
        <w:t xml:space="preserve">4.2</w:t>
      </w:r>
      <w:r>
        <w:t xml:space="preserve"> </w:t>
      </w:r>
      <w:r>
        <w:t xml:space="preserve">– The remaining sixty percent (60%), amounting to EGP 283,860, shall be payable in two equal installments: the first upon completion of the fieldwork phase and the second upon delivery of the final</w:t>
      </w:r>
      <w:r>
        <w:t xml:space="preserve"> </w:t>
      </w:r>
      <w:r>
        <w:t xml:space="preserve">Auditor</w:t>
      </w:r>
      <w:r>
        <w:t xml:space="preserve">'s opinion letter.</w:t>
      </w:r>
    </w:p>
    <w:p>
      <w:pPr>
        <w:pStyle w:val="BodyText"/>
      </w:pPr>
      <w:r>
        <w:rPr>
          <w:bCs/>
          <w:b/>
        </w:rPr>
        <w:t xml:space="preserve">4.3</w:t>
      </w:r>
      <w:r>
        <w:t xml:space="preserve"> </w:t>
      </w:r>
      <w:r>
        <w:t xml:space="preserve">– All payments shall be made via bank transfer to the firm's designated account at National Bank of Egypt, Alexandria Main Branch. Late payments shall incur a penalty of 1.5% per month as per Egyptian commercial law.</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 This</w:t>
      </w:r>
      <w:r>
        <w:t xml:space="preserve"> </w:t>
      </w:r>
      <w:r>
        <w:t xml:space="preserve">Quotation Estimate</w:t>
      </w:r>
      <w:r>
        <w:t xml:space="preserve"> </w:t>
      </w:r>
      <w:r>
        <w:t xml:space="preserve">is valid for thirty (30) calendar days from the date of issue. Beyond this period, pricing may be revised to reflect changes in market conditions, regulatory requirements, or the</w:t>
      </w:r>
      <w:r>
        <w:t xml:space="preserve"> </w:t>
      </w:r>
      <w:r>
        <w:t xml:space="preserve">Auditor</w:t>
      </w:r>
      <w:r>
        <w:t xml:space="preserve">'s availability.</w:t>
      </w:r>
    </w:p>
    <w:p>
      <w:pPr>
        <w:pStyle w:val="BodyText"/>
      </w:pPr>
      <w:r>
        <w:rPr>
          <w:bCs/>
          <w:b/>
        </w:rPr>
        <w:t xml:space="preserve">5.2</w:t>
      </w:r>
      <w:r>
        <w:t xml:space="preserve"> </w:t>
      </w:r>
      <w:r>
        <w:t xml:space="preserve">– The</w:t>
      </w:r>
      <w:r>
        <w:t xml:space="preserve"> </w:t>
      </w:r>
      <w:r>
        <w:t xml:space="preserve">Auditor</w:t>
      </w:r>
      <w:r>
        <w:t xml:space="preserve"> </w:t>
      </w:r>
      <w:r>
        <w:t xml:space="preserve">and the firm shall maintain strict confidentiality of all client financial data, trade secrets, and proprietary information in accordance with the Egyptian Data Protection Law and professional ethical standards.</w:t>
      </w:r>
    </w:p>
    <w:p>
      <w:pPr>
        <w:pStyle w:val="BodyText"/>
      </w:pPr>
      <w:r>
        <w:rPr>
          <w:bCs/>
          <w:b/>
        </w:rPr>
        <w:t xml:space="preserve">5.3</w:t>
      </w:r>
      <w:r>
        <w:t xml:space="preserve"> </w:t>
      </w:r>
      <w:r>
        <w:t xml:space="preserve">– The engagement shall be governed by the laws of the Arab Republic of Egypt. Any disputes arising from this</w:t>
      </w:r>
      <w:r>
        <w:t xml:space="preserve"> </w:t>
      </w:r>
      <w:r>
        <w:t xml:space="preserve">Quotation Estimate</w:t>
      </w:r>
      <w:r>
        <w:t xml:space="preserve"> </w:t>
      </w:r>
      <w:r>
        <w:t xml:space="preserve">shall be resolved through arbitration in</w:t>
      </w:r>
      <w:r>
        <w:t xml:space="preserve"> </w:t>
      </w:r>
      <w:r>
        <w:t xml:space="preserve">Egypt Alexandria</w:t>
      </w:r>
      <w:r>
        <w:t xml:space="preserve"> </w:t>
      </w:r>
      <w:r>
        <w:t xml:space="preserve">under the rules of the Egyptian Arbitration Center.</w:t>
      </w:r>
    </w:p>
    <w:p>
      <w:pPr>
        <w:pStyle w:val="BodyText"/>
      </w:pPr>
      <w:r>
        <w:rPr>
          <w:bCs/>
          <w:b/>
        </w:rPr>
        <w:t xml:space="preserve">5.4</w:t>
      </w:r>
      <w:r>
        <w:t xml:space="preserve"> </w:t>
      </w:r>
      <w:r>
        <w:t xml:space="preserve">– The client agrees to provide timely access to all financial records, ledgers, bank statements, and supporting documentation required by the</w:t>
      </w:r>
      <w:r>
        <w:t xml:space="preserve"> </w:t>
      </w:r>
      <w:r>
        <w:t xml:space="preserve">Auditor</w:t>
      </w:r>
      <w:r>
        <w:t xml:space="preserve"> </w:t>
      </w:r>
      <w:r>
        <w:t xml:space="preserve">to complete the engagement within the agreed timeline.</w:t>
      </w:r>
    </w:p>
    <w:p>
      <w:pPr>
        <w:pStyle w:val="BodyText"/>
      </w:pPr>
      <w:r>
        <w:rPr>
          <w:bCs/>
          <w:b/>
        </w:rPr>
        <w:t xml:space="preserve">5.5</w:t>
      </w:r>
      <w:r>
        <w:t xml:space="preserve"> </w:t>
      </w:r>
      <w:r>
        <w:t xml:space="preserve">– Any additional services requested by the client beyond the scope defined in this</w:t>
      </w:r>
      <w:r>
        <w:t xml:space="preserve"> </w:t>
      </w:r>
      <w:r>
        <w:t xml:space="preserve">Quotation Estimate</w:t>
      </w:r>
      <w:r>
        <w:t xml:space="preserve"> </w:t>
      </w:r>
      <w:r>
        <w:t xml:space="preserve">shall be subject to a separate written amendment and additional fees at the firm's standard hourly rate of EGP 2,500 per hour for the</w:t>
      </w:r>
      <w:r>
        <w:t xml:space="preserve"> </w:t>
      </w:r>
      <w:r>
        <w:t xml:space="preserve">Auditor</w:t>
      </w:r>
      <w:r>
        <w:t xml:space="preserve"> </w:t>
      </w:r>
      <w:r>
        <w:t xml:space="preserve">and EGP 1,200 per hour for senior associates.</w:t>
      </w:r>
    </w:p>
    <w:p>
      <w:pPr>
        <w:pStyle w:val="BodyText"/>
      </w:pPr>
      <w:r>
        <w:rPr>
          <w:bCs/>
          <w:b/>
        </w:rPr>
        <w:t xml:space="preserve">5.6</w:t>
      </w:r>
      <w:r>
        <w:t xml:space="preserve"> </w:t>
      </w:r>
      <w:r>
        <w:t xml:space="preserve">– The estimated timeline for completion of the full audit engagement is eight (8) to ten (10) weeks from the date of the kickoff meeting, subject to the client's cooperation and data availability.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all terms, conditions, pricing, and scope of work as outlined in this</w:t>
      </w:r>
      <w:r>
        <w:t xml:space="preserve"> </w:t>
      </w:r>
      <w:r>
        <w:t xml:space="preserve">Quotation Estimate</w:t>
      </w:r>
      <w:r>
        <w:t xml:space="preserve"> </w:t>
      </w:r>
      <w:r>
        <w:t xml:space="preserve">for the engagement of the</w:t>
      </w:r>
      <w:r>
        <w:t xml:space="preserve"> </w:t>
      </w:r>
      <w:r>
        <w:t xml:space="preserve">Auditor</w:t>
      </w:r>
      <w:r>
        <w:t xml:space="preserve"> </w:t>
      </w:r>
      <w:r>
        <w:t xml:space="preserve">in</w:t>
      </w:r>
      <w:r>
        <w:t xml:space="preserve"> </w:t>
      </w:r>
      <w:r>
        <w:t xml:space="preserve">Egypt Alexandria</w:t>
      </w:r>
      <w:r>
        <w:t xml:space="preserve">. This signature constitutes a binding agreement between both parties.</w:t>
      </w:r>
    </w:p>
    <w:p>
      <w:pPr>
        <w:pStyle w:val="BodyText"/>
      </w:pPr>
      <w:r>
        <w:rPr>
          <w:bCs/>
          <w:b/>
        </w:rPr>
        <w:t xml:space="preserve">For: Alexandria Audit &amp; Advisory Partners</w:t>
      </w:r>
    </w:p>
    <w:p>
      <w:pPr>
        <w:pStyle w:val="BodyText"/>
      </w:pPr>
      <w:r>
        <w:t xml:space="preserve">Name: Dr. Mona Abdel-Rahman, CPA</w:t>
      </w:r>
    </w:p>
    <w:p>
      <w:pPr>
        <w:pStyle w:val="BodyText"/>
      </w:pPr>
      <w:r>
        <w:t xml:space="preserve">Title: Managing Partner &amp; Lead Auditor</w:t>
      </w:r>
    </w:p>
    <w:p>
      <w:pPr>
        <w:pStyle w:val="BodyText"/>
      </w:pPr>
      <w:r>
        <w:t xml:space="preserve">Date: _______________</w:t>
      </w:r>
    </w:p>
    <w:p>
      <w:pPr>
        <w:pStyle w:val="BodyText"/>
      </w:pPr>
      <w:r>
        <w:t xml:space="preserve">Signature &amp; Stamp: _______________</w:t>
      </w:r>
    </w:p>
    <w:p>
      <w:pPr>
        <w:pStyle w:val="BodyText"/>
      </w:pPr>
      <w:r>
        <w:rPr>
          <w:bCs/>
          <w:b/>
        </w:rPr>
        <w:t xml:space="preserve">For: Medina Trading &amp; Logistics Co., Ltd.</w:t>
      </w:r>
    </w:p>
    <w:p>
      <w:pPr>
        <w:pStyle w:val="BodyText"/>
      </w:pPr>
      <w:r>
        <w:t xml:space="preserve">Name: Mr. Hassan El-Sayed</w:t>
      </w:r>
    </w:p>
    <w:p>
      <w:pPr>
        <w:pStyle w:val="BodyText"/>
      </w:pPr>
      <w:r>
        <w:t xml:space="preserve">Title: Chief Financial Officer</w:t>
      </w:r>
    </w:p>
    <w:p>
      <w:pPr>
        <w:pStyle w:val="BodyText"/>
      </w:pPr>
      <w:r>
        <w:t xml:space="preserve">Date: _______________</w:t>
      </w:r>
    </w:p>
    <w:p>
      <w:pPr>
        <w:pStyle w:val="BodyText"/>
      </w:pPr>
      <w:r>
        <w:t xml:space="preserve">Signature &amp; Stamp: _______________</w:t>
      </w:r>
    </w:p>
    <w:p>
      <w:pPr>
        <w:pStyle w:val="BodyText"/>
      </w:pPr>
      <w:r>
        <w:t xml:space="preserve">Alexandria Audit &amp; Advisory Partners | 12 Corniche El-Nil, Smouha, Egypt Alexandria | CR: 45821 | FRA License: AUD-2019-0034</w:t>
      </w:r>
    </w:p>
    <w:p>
      <w:pPr>
        <w:pStyle w:val="BodyText"/>
      </w:pPr>
      <w:r>
        <w:t xml:space="preserve">This Quotation Estimate document is generated electronically and is valid without a physical stamp.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Egypt Alexandria</dc:title>
  <dc:creator/>
  <dc:language>en</dc:language>
  <cp:keywords/>
  <dcterms:created xsi:type="dcterms:W3CDTF">2026-10-10T02:22:53Z</dcterms:created>
  <dcterms:modified xsi:type="dcterms:W3CDTF">2026-10-10T02:22:53Z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