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Auditor</w:t>
      </w:r>
      <w:r>
        <w:t xml:space="preserve"> </w:t>
      </w:r>
      <w:r>
        <w:t xml:space="preserve">Services</w:t>
      </w:r>
      <w:r>
        <w:t xml:space="preserve"> </w:t>
      </w:r>
      <w:r>
        <w:t xml:space="preserve">-</w:t>
      </w:r>
      <w:r>
        <w:t xml:space="preserve"> </w:t>
      </w:r>
      <w:r>
        <w:t xml:space="preserve">Egypt</w:t>
      </w:r>
      <w:r>
        <w:t xml:space="preserve"> </w:t>
      </w:r>
      <w:r>
        <w:t xml:space="preserve">Cairo</w:t>
      </w:r>
    </w:p>
    <w:bookmarkStart w:id="20" w:name="quotation-estimate"/>
    <w:p>
      <w:pPr>
        <w:pStyle w:val="Heading1"/>
      </w:pPr>
      <w:r>
        <w:t xml:space="preserve">Quotation Estimate</w:t>
      </w:r>
    </w:p>
    <w:p>
      <w:pPr>
        <w:pStyle w:val="FirstParagraph"/>
      </w:pPr>
      <w:r>
        <w:t xml:space="preserve">Professional Auditor Services — Egypt Cairo</w:t>
      </w:r>
    </w:p>
    <w:p>
      <w:pPr>
        <w:pStyle w:val="BodyText"/>
      </w:pPr>
      <w:r>
        <w:t xml:space="preserve">Document Ref: QE-EGY-CAI-2025-0472</w:t>
      </w:r>
    </w:p>
    <w:bookmarkEnd w:id="20"/>
    <w:bookmarkStart w:id="21" w:name="prepared-by"/>
    <w:p>
      <w:pPr>
        <w:pStyle w:val="Heading3"/>
      </w:pPr>
      <w:r>
        <w:t xml:space="preserve">Prepared By</w:t>
      </w:r>
    </w:p>
    <w:p>
      <w:pPr>
        <w:pStyle w:val="FirstParagraph"/>
      </w:pPr>
      <w:r>
        <w:rPr>
          <w:bCs/>
          <w:b/>
        </w:rPr>
        <w:t xml:space="preserve">Nile Delta Audit &amp; Assurance Group</w:t>
      </w:r>
    </w:p>
    <w:p>
      <w:pPr>
        <w:pStyle w:val="BodyText"/>
      </w:pPr>
      <w:r>
        <w:t xml:space="preserve">12 Tahrir Square, Downtown District</w:t>
      </w:r>
    </w:p>
    <w:p>
      <w:pPr>
        <w:pStyle w:val="BodyText"/>
      </w:pPr>
      <w:r>
        <w:t xml:space="preserve">Cairo, Egypt 11511</w:t>
      </w:r>
    </w:p>
    <w:p>
      <w:pPr>
        <w:pStyle w:val="BodyText"/>
      </w:pPr>
      <w:r>
        <w:t xml:space="preserve">Tel: +20 2 2578 4410</w:t>
      </w:r>
    </w:p>
    <w:p>
      <w:pPr>
        <w:pStyle w:val="BodyText"/>
      </w:pPr>
      <w:r>
        <w:t xml:space="preserve">Email: quotations@niledeltaaudit.eg</w:t>
      </w:r>
    </w:p>
    <w:p>
      <w:pPr>
        <w:pStyle w:val="BodyText"/>
      </w:pPr>
      <w:r>
        <w:t xml:space="preserve">License No: EAA-2019-00347</w:t>
      </w:r>
    </w:p>
    <w:bookmarkEnd w:id="21"/>
    <w:bookmarkStart w:id="22" w:name="prepared-for"/>
    <w:p>
      <w:pPr>
        <w:pStyle w:val="Heading3"/>
      </w:pPr>
      <w:r>
        <w:t xml:space="preserve">Prepared For</w:t>
      </w:r>
    </w:p>
    <w:p>
      <w:pPr>
        <w:pStyle w:val="FirstParagraph"/>
      </w:pPr>
      <w:r>
        <w:rPr>
          <w:bCs/>
          <w:b/>
        </w:rPr>
        <w:t xml:space="preserve">Al-Nile Manufacturing &amp; Trading Co.</w:t>
      </w:r>
    </w:p>
    <w:p>
      <w:pPr>
        <w:pStyle w:val="BodyText"/>
      </w:pPr>
      <w:r>
        <w:t xml:space="preserve">45 El-Mokattam Road, 15th of May District</w:t>
      </w:r>
    </w:p>
    <w:p>
      <w:pPr>
        <w:pStyle w:val="BodyText"/>
      </w:pPr>
      <w:r>
        <w:t xml:space="preserve">Cairo, Egypt 11341</w:t>
      </w:r>
    </w:p>
    <w:p>
      <w:pPr>
        <w:pStyle w:val="BodyText"/>
      </w:pPr>
      <w:r>
        <w:t xml:space="preserve">Attn: Mr. Hassan El-Sayed, CFO</w:t>
      </w:r>
    </w:p>
    <w:p>
      <w:pPr>
        <w:pStyle w:val="BodyText"/>
      </w:pPr>
      <w:r>
        <w:t xml:space="preserve">Tel: +20 2 2685 7723</w:t>
      </w:r>
    </w:p>
    <w:p>
      <w:pPr>
        <w:pStyle w:val="BodyText"/>
      </w:pPr>
      <w:r>
        <w:t xml:space="preserve">Email: finance@alnilemfg.eg</w:t>
      </w:r>
    </w:p>
    <w:bookmarkEnd w:id="22"/>
    <w:bookmarkStart w:id="23" w:name="quotation-details"/>
    <w:p>
      <w:pPr>
        <w:pStyle w:val="Heading3"/>
      </w:pPr>
      <w:r>
        <w:t xml:space="preserve">Quotation Details</w:t>
      </w:r>
    </w:p>
    <w:p>
      <w:pPr>
        <w:pStyle w:val="FirstParagraph"/>
      </w:pPr>
      <w:r>
        <w:rPr>
          <w:bCs/>
          <w:b/>
        </w:rPr>
        <w:t xml:space="preserve">Date of Issue:</w:t>
      </w:r>
      <w:r>
        <w:t xml:space="preserve"> </w:t>
      </w:r>
      <w:r>
        <w:t xml:space="preserve">14 June 2025</w:t>
      </w:r>
    </w:p>
    <w:p>
      <w:pPr>
        <w:pStyle w:val="BodyText"/>
      </w:pPr>
      <w:r>
        <w:rPr>
          <w:bCs/>
          <w:b/>
        </w:rPr>
        <w:t xml:space="preserve">Validity Period:</w:t>
      </w:r>
      <w:r>
        <w:t xml:space="preserve"> </w:t>
      </w:r>
      <w:r>
        <w:t xml:space="preserve">30 calendar days from issue date</w:t>
      </w:r>
    </w:p>
    <w:p>
      <w:pPr>
        <w:pStyle w:val="BodyText"/>
      </w:pPr>
      <w:r>
        <w:rPr>
          <w:bCs/>
          <w:b/>
        </w:rPr>
        <w:t xml:space="preserve">Currency:</w:t>
      </w:r>
      <w:r>
        <w:t xml:space="preserve"> </w:t>
      </w:r>
      <w:r>
        <w:t xml:space="preserve">Egyptian Pound (EGP)</w:t>
      </w:r>
    </w:p>
    <w:p>
      <w:pPr>
        <w:pStyle w:val="BodyText"/>
      </w:pPr>
      <w:r>
        <w:rPr>
          <w:bCs/>
          <w:b/>
        </w:rPr>
        <w:t xml:space="preserve">Payment Terms:</w:t>
      </w:r>
      <w:r>
        <w:t xml:space="preserve"> </w:t>
      </w:r>
      <w:r>
        <w:t xml:space="preserve">50% advance, 50% upon completion</w:t>
      </w:r>
    </w:p>
    <w:bookmarkEnd w:id="23"/>
    <w:bookmarkStart w:id="24" w:name="engagement-reference"/>
    <w:p>
      <w:pPr>
        <w:pStyle w:val="Heading3"/>
      </w:pPr>
      <w:r>
        <w:t xml:space="preserve">Engagement Reference</w:t>
      </w:r>
    </w:p>
    <w:p>
      <w:pPr>
        <w:pStyle w:val="FirstParagraph"/>
      </w:pPr>
      <w:r>
        <w:rPr>
          <w:bCs/>
          <w:b/>
        </w:rPr>
        <w:t xml:space="preserve">Service Type:</w:t>
      </w:r>
      <w:r>
        <w:t xml:space="preserve"> </w:t>
      </w:r>
      <w:r>
        <w:t xml:space="preserve">Full-Scope Auditor Engagement</w:t>
      </w:r>
    </w:p>
    <w:p>
      <w:pPr>
        <w:pStyle w:val="BodyText"/>
      </w:pPr>
      <w:r>
        <w:rPr>
          <w:bCs/>
          <w:b/>
        </w:rPr>
        <w:t xml:space="preserve">Location of Work:</w:t>
      </w:r>
      <w:r>
        <w:t xml:space="preserve"> </w:t>
      </w:r>
      <w:r>
        <w:t xml:space="preserve">Egypt Cairo (Client Premises &amp; Field Sites)</w:t>
      </w:r>
    </w:p>
    <w:p>
      <w:pPr>
        <w:pStyle w:val="BodyText"/>
      </w:pPr>
      <w:r>
        <w:rPr>
          <w:bCs/>
          <w:b/>
        </w:rPr>
        <w:t xml:space="preserve">Estimated Duration:</w:t>
      </w:r>
      <w:r>
        <w:t xml:space="preserve"> </w:t>
      </w:r>
      <w:r>
        <w:t xml:space="preserve">8 weeks (40 working days)</w:t>
      </w:r>
    </w:p>
    <w:p>
      <w:pPr>
        <w:pStyle w:val="BodyText"/>
      </w:pPr>
      <w:r>
        <w:rPr>
          <w:bCs/>
          <w:b/>
        </w:rPr>
        <w:t xml:space="preserve">Regulatory Framework:</w:t>
      </w:r>
      <w:r>
        <w:t xml:space="preserve"> </w:t>
      </w:r>
      <w:r>
        <w:t xml:space="preserve">Egyptian Financial Accounting Standards (EFAS)</w:t>
      </w:r>
    </w:p>
    <w:bookmarkEnd w:id="24"/>
    <w:bookmarkStart w:id="25" w:name="scope-of-auditor-services-in-egypt-cairo"/>
    <w:p>
      <w:pPr>
        <w:pStyle w:val="Heading2"/>
      </w:pPr>
      <w:r>
        <w:t xml:space="preserve">1. Scope of Auditor Services in Egypt Cairo</w:t>
      </w:r>
    </w:p>
    <w:p>
      <w:pPr>
        <w:pStyle w:val="FirstParagraph"/>
      </w:pPr>
      <w:r>
        <w:t xml:space="preserve">This</w:t>
      </w:r>
      <w:r>
        <w:t xml:space="preserve"> </w:t>
      </w:r>
      <w:r>
        <w:t xml:space="preserve">Quotation Estimate</w:t>
      </w:r>
      <w:r>
        <w:t xml:space="preserve"> </w:t>
      </w:r>
      <w:r>
        <w:t xml:space="preserve">outlines the comprehensive professional services to be rendered by our certified</w:t>
      </w:r>
      <w:r>
        <w:t xml:space="preserve"> </w:t>
      </w:r>
      <w:r>
        <w:t xml:space="preserve">Auditor</w:t>
      </w:r>
      <w:r>
        <w:t xml:space="preserve"> </w:t>
      </w:r>
      <w:r>
        <w:t xml:space="preserve">team at the client's operational facilities located in</w:t>
      </w:r>
      <w:r>
        <w:t xml:space="preserve"> </w:t>
      </w:r>
      <w:r>
        <w:t xml:space="preserve">Egypt Cairo</w:t>
      </w:r>
      <w:r>
        <w:t xml:space="preserve">. The engagement encompasses a full statutory and internal audit in accordance with the Egyptian Companies Law No. 159 of 1981 (as amended), the Egyptian Financial Accounting Standards (EFAS), and the International Standards on Auditing (ISA) adopted by the Egyptian Financial Accounting Authority (EFAA). The</w:t>
      </w:r>
      <w:r>
        <w:t xml:space="preserve"> </w:t>
      </w:r>
      <w:r>
        <w:t xml:space="preserve">Auditor</w:t>
      </w:r>
      <w:r>
        <w:t xml:space="preserve"> </w:t>
      </w:r>
      <w:r>
        <w:t xml:space="preserve">will conduct fieldwork across all Cairo-based production units, warehousing facilities, and the head office in Downtown Cairo, ensuring full compliance with local regulatory requirements and international best practices.</w:t>
      </w:r>
    </w:p>
    <w:bookmarkEnd w:id="25"/>
    <w:bookmarkStart w:id="26"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 Deliverable</w:t>
            </w:r>
          </w:p>
        </w:tc>
        <w:tc>
          <w:tcPr/>
          <w:p>
            <w:pPr>
              <w:pStyle w:val="Compact"/>
              <w:jc w:val="left"/>
            </w:pPr>
            <w:r>
              <w:t xml:space="preserve">Duration</w:t>
            </w:r>
          </w:p>
        </w:tc>
        <w:tc>
          <w:tcPr/>
          <w:p>
            <w:pPr>
              <w:pStyle w:val="Compact"/>
              <w:jc w:val="left"/>
            </w:pPr>
            <w:r>
              <w:t xml:space="preserve">Rate (EGP)</w:t>
            </w:r>
          </w:p>
        </w:tc>
        <w:tc>
          <w:tcPr/>
          <w:p>
            <w:pPr>
              <w:pStyle w:val="Compact"/>
              <w:jc w:val="left"/>
            </w:pPr>
            <w:r>
              <w:t xml:space="preserve">Amount (EGP)</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Planning &amp; Risk Assessment Phase — Auditor engagement letter, materiality setting, and audit program design for Egypt Cairo operations</w:t>
            </w:r>
          </w:p>
        </w:tc>
        <w:tc>
          <w:tcPr/>
          <w:p>
            <w:pPr>
              <w:pStyle w:val="Compact"/>
              <w:jc w:val="left"/>
            </w:pPr>
            <w:r>
              <w:t xml:space="preserve">1 week</w:t>
            </w:r>
          </w:p>
        </w:tc>
        <w:tc>
          <w:tcPr/>
          <w:p>
            <w:pPr>
              <w:pStyle w:val="Compact"/>
              <w:jc w:val="left"/>
            </w:pPr>
            <w:r>
              <w:t xml:space="preserve">18,500</w:t>
            </w:r>
          </w:p>
        </w:tc>
        <w:tc>
          <w:tcPr/>
          <w:p>
            <w:pPr>
              <w:pStyle w:val="Compact"/>
              <w:jc w:val="left"/>
            </w:pPr>
            <w:r>
              <w:t xml:space="preserve">18,500</w:t>
            </w:r>
          </w:p>
        </w:tc>
        <w:tc>
          <w:tcPr/>
          <w:p>
            <w:pPr>
              <w:pStyle w:val="Compact"/>
              <w:jc w:val="left"/>
            </w:pPr>
            <w:r>
              <w:t xml:space="preserve">Includes site visits</w:t>
            </w:r>
          </w:p>
        </w:tc>
      </w:tr>
      <w:tr>
        <w:tc>
          <w:tcPr/>
          <w:p>
            <w:pPr>
              <w:pStyle w:val="Compact"/>
              <w:jc w:val="left"/>
            </w:pPr>
            <w:r>
              <w:t xml:space="preserve">2</w:t>
            </w:r>
          </w:p>
        </w:tc>
        <w:tc>
          <w:tcPr/>
          <w:p>
            <w:pPr>
              <w:pStyle w:val="Compact"/>
              <w:jc w:val="left"/>
            </w:pPr>
            <w:r>
              <w:t xml:space="preserve">Statutory Financial Statement Audit — Full examination of P&amp;L, Balance Sheet, Cash Flow, and Notes to Accounts</w:t>
            </w:r>
          </w:p>
        </w:tc>
        <w:tc>
          <w:tcPr/>
          <w:p>
            <w:pPr>
              <w:pStyle w:val="Compact"/>
              <w:jc w:val="left"/>
            </w:pPr>
            <w:r>
              <w:t xml:space="preserve">3 weeks</w:t>
            </w:r>
          </w:p>
        </w:tc>
        <w:tc>
          <w:tcPr/>
          <w:p>
            <w:pPr>
              <w:pStyle w:val="Compact"/>
              <w:jc w:val="left"/>
            </w:pPr>
            <w:r>
              <w:t xml:space="preserve">42,000</w:t>
            </w:r>
          </w:p>
        </w:tc>
        <w:tc>
          <w:tcPr/>
          <w:p>
            <w:pPr>
              <w:pStyle w:val="Compact"/>
              <w:jc w:val="left"/>
            </w:pPr>
            <w:r>
              <w:t xml:space="preserve">126,000</w:t>
            </w:r>
          </w:p>
        </w:tc>
        <w:tc>
          <w:tcPr/>
          <w:p>
            <w:pPr>
              <w:pStyle w:val="Compact"/>
              <w:jc w:val="left"/>
            </w:pPr>
            <w:r>
              <w:t xml:space="preserve">EFAS &amp; ISA compliant</w:t>
            </w:r>
          </w:p>
        </w:tc>
      </w:tr>
      <w:tr>
        <w:tc>
          <w:tcPr/>
          <w:p>
            <w:pPr>
              <w:pStyle w:val="Compact"/>
              <w:jc w:val="left"/>
            </w:pPr>
            <w:r>
              <w:t xml:space="preserve">3</w:t>
            </w:r>
          </w:p>
        </w:tc>
        <w:tc>
          <w:tcPr/>
          <w:p>
            <w:pPr>
              <w:pStyle w:val="Compact"/>
              <w:jc w:val="left"/>
            </w:pPr>
            <w:r>
              <w:t xml:space="preserve">Internal Controls &amp; Compliance Audit — Review of SOX-equivalent controls, tax compliance (VAT, Income Tax), and Egyptian Central Bank regulations</w:t>
            </w:r>
          </w:p>
        </w:tc>
        <w:tc>
          <w:tcPr/>
          <w:p>
            <w:pPr>
              <w:pStyle w:val="Compact"/>
              <w:jc w:val="left"/>
            </w:pPr>
            <w:r>
              <w:t xml:space="preserve">2 weeks</w:t>
            </w:r>
          </w:p>
        </w:tc>
        <w:tc>
          <w:tcPr/>
          <w:p>
            <w:pPr>
              <w:pStyle w:val="Compact"/>
              <w:jc w:val="left"/>
            </w:pPr>
            <w:r>
              <w:t xml:space="preserve">35,000</w:t>
            </w:r>
          </w:p>
        </w:tc>
        <w:tc>
          <w:tcPr/>
          <w:p>
            <w:pPr>
              <w:pStyle w:val="Compact"/>
              <w:jc w:val="left"/>
            </w:pPr>
            <w:r>
              <w:t xml:space="preserve">70,000</w:t>
            </w:r>
          </w:p>
        </w:tc>
        <w:tc>
          <w:tcPr/>
          <w:p>
            <w:pPr>
              <w:pStyle w:val="Compact"/>
              <w:jc w:val="left"/>
            </w:pPr>
            <w:r>
              <w:t xml:space="preserve">Fieldwork in Cairo</w:t>
            </w:r>
          </w:p>
        </w:tc>
      </w:tr>
      <w:tr>
        <w:tc>
          <w:tcPr/>
          <w:p>
            <w:pPr>
              <w:pStyle w:val="Compact"/>
              <w:jc w:val="left"/>
            </w:pPr>
            <w:r>
              <w:t xml:space="preserve">4</w:t>
            </w:r>
          </w:p>
        </w:tc>
        <w:tc>
          <w:tcPr/>
          <w:p>
            <w:pPr>
              <w:pStyle w:val="Compact"/>
              <w:jc w:val="left"/>
            </w:pPr>
            <w:r>
              <w:t xml:space="preserve">Inventory &amp; Fixed Asset Verification — Physical count supervision at all Egypt Cairo warehouses and production lines</w:t>
            </w:r>
          </w:p>
        </w:tc>
        <w:tc>
          <w:tcPr/>
          <w:p>
            <w:pPr>
              <w:pStyle w:val="Compact"/>
              <w:jc w:val="left"/>
            </w:pPr>
            <w:r>
              <w:t xml:space="preserve">1 week</w:t>
            </w:r>
          </w:p>
        </w:tc>
        <w:tc>
          <w:tcPr/>
          <w:p>
            <w:pPr>
              <w:pStyle w:val="Compact"/>
              <w:jc w:val="left"/>
            </w:pPr>
            <w:r>
              <w:t xml:space="preserve">22,000</w:t>
            </w:r>
          </w:p>
        </w:tc>
        <w:tc>
          <w:tcPr/>
          <w:p>
            <w:pPr>
              <w:pStyle w:val="Compact"/>
              <w:jc w:val="left"/>
            </w:pPr>
            <w:r>
              <w:t xml:space="preserve">22,000</w:t>
            </w:r>
          </w:p>
        </w:tc>
        <w:tc>
          <w:tcPr/>
          <w:p>
            <w:pPr>
              <w:pStyle w:val="Compact"/>
              <w:jc w:val="left"/>
            </w:pPr>
            <w:r>
              <w:t xml:space="preserve">3 sites in Cairo</w:t>
            </w:r>
          </w:p>
        </w:tc>
      </w:tr>
      <w:tr>
        <w:tc>
          <w:tcPr/>
          <w:p>
            <w:pPr>
              <w:pStyle w:val="Compact"/>
              <w:jc w:val="left"/>
            </w:pPr>
            <w:r>
              <w:t xml:space="preserve">5</w:t>
            </w:r>
          </w:p>
        </w:tc>
        <w:tc>
          <w:tcPr/>
          <w:p>
            <w:pPr>
              <w:pStyle w:val="Compact"/>
              <w:jc w:val="left"/>
            </w:pPr>
            <w:r>
              <w:t xml:space="preserve">Management Letter &amp; Final Audit Report — Written findings, recommendations, and statutory Auditor's opinion</w:t>
            </w:r>
          </w:p>
        </w:tc>
        <w:tc>
          <w:tcPr/>
          <w:p>
            <w:pPr>
              <w:pStyle w:val="Compact"/>
              <w:jc w:val="left"/>
            </w:pPr>
            <w:r>
              <w:t xml:space="preserve">1 week</w:t>
            </w:r>
          </w:p>
        </w:tc>
        <w:tc>
          <w:tcPr/>
          <w:p>
            <w:pPr>
              <w:pStyle w:val="Compact"/>
              <w:jc w:val="left"/>
            </w:pPr>
            <w:r>
              <w:t xml:space="preserve">15,000</w:t>
            </w:r>
          </w:p>
        </w:tc>
        <w:tc>
          <w:tcPr/>
          <w:p>
            <w:pPr>
              <w:pStyle w:val="Compact"/>
              <w:jc w:val="left"/>
            </w:pPr>
            <w:r>
              <w:t xml:space="preserve">15,000</w:t>
            </w:r>
          </w:p>
        </w:tc>
        <w:tc>
          <w:tcPr/>
          <w:p>
            <w:pPr>
              <w:pStyle w:val="Compact"/>
              <w:jc w:val="left"/>
            </w:pPr>
            <w:r>
              <w:t xml:space="preserve">Arabic &amp; English</w:t>
            </w:r>
          </w:p>
        </w:tc>
      </w:tr>
      <w:tr>
        <w:tc>
          <w:tcPr/>
          <w:p>
            <w:pPr>
              <w:pStyle w:val="Compact"/>
              <w:jc w:val="left"/>
            </w:pPr>
            <w:r>
              <w:t xml:space="preserve">6</w:t>
            </w:r>
          </w:p>
        </w:tc>
        <w:tc>
          <w:tcPr/>
          <w:p>
            <w:pPr>
              <w:pStyle w:val="Compact"/>
              <w:jc w:val="left"/>
            </w:pPr>
            <w:r>
              <w:t xml:space="preserve">Travel, Logistics &amp; Administrative Overheads — Transportation within Egypt Cairo, document handling, and office support</w:t>
            </w:r>
          </w:p>
        </w:tc>
        <w:tc>
          <w:tcPr/>
          <w:p>
            <w:pPr>
              <w:pStyle w:val="Compact"/>
              <w:jc w:val="left"/>
            </w:pPr>
            <w:r>
              <w:t xml:space="preserve">8 weeks</w:t>
            </w:r>
          </w:p>
        </w:tc>
        <w:tc>
          <w:tcPr/>
          <w:p>
            <w:pPr>
              <w:pStyle w:val="Compact"/>
              <w:jc w:val="left"/>
            </w:pPr>
            <w:r>
              <w:t xml:space="preserve">4,500</w:t>
            </w:r>
          </w:p>
        </w:tc>
        <w:tc>
          <w:tcPr/>
          <w:p>
            <w:pPr>
              <w:pStyle w:val="Compact"/>
              <w:jc w:val="left"/>
            </w:pPr>
            <w:r>
              <w:t xml:space="preserve">36,000</w:t>
            </w:r>
          </w:p>
        </w:tc>
        <w:tc>
          <w:tcPr/>
          <w:p>
            <w:pPr>
              <w:pStyle w:val="Compact"/>
              <w:jc w:val="left"/>
            </w:pPr>
            <w:r>
              <w:t xml:space="preserve">Per diem included</w:t>
            </w:r>
          </w:p>
        </w:tc>
      </w:tr>
      <w:tr>
        <w:tc>
          <w:tcPr>
            <w:gridSpan w:val="4"/>
          </w:tcPr>
          <w:p>
            <w:pPr>
              <w:pStyle w:val="Compact"/>
              <w:jc w:val="right"/>
            </w:pPr>
            <w:r>
              <w:t xml:space="preserve">Subtotal</w:t>
            </w:r>
          </w:p>
        </w:tc>
        <w:tc>
          <w:tcPr/>
          <w:p>
            <w:pPr>
              <w:pStyle w:val="Compact"/>
              <w:jc w:val="left"/>
            </w:pPr>
            <w:r>
              <w:t xml:space="preserve">287,500</w:t>
            </w:r>
          </w:p>
        </w:tc>
        <w:tc>
          <w:tcPr/>
          <w:p>
            <w:pPr>
              <w:pStyle w:val="Compact"/>
            </w:pPr>
          </w:p>
        </w:tc>
      </w:tr>
      <w:tr>
        <w:tc>
          <w:tcPr>
            <w:gridSpan w:val="4"/>
          </w:tcPr>
          <w:p>
            <w:pPr>
              <w:pStyle w:val="Compact"/>
              <w:jc w:val="right"/>
            </w:pPr>
            <w:r>
              <w:t xml:space="preserve">VAT (14%)</w:t>
            </w:r>
          </w:p>
        </w:tc>
        <w:tc>
          <w:tcPr/>
          <w:p>
            <w:pPr>
              <w:pStyle w:val="Compact"/>
              <w:jc w:val="left"/>
            </w:pPr>
            <w:r>
              <w:t xml:space="preserve">40,250</w:t>
            </w:r>
          </w:p>
        </w:tc>
        <w:tc>
          <w:tcPr/>
          <w:p>
            <w:pPr>
              <w:pStyle w:val="Compact"/>
            </w:pPr>
          </w:p>
        </w:tc>
      </w:tr>
      <w:tr>
        <w:tc>
          <w:tcPr>
            <w:gridSpan w:val="4"/>
          </w:tcPr>
          <w:p>
            <w:pPr>
              <w:pStyle w:val="Compact"/>
              <w:jc w:val="right"/>
            </w:pPr>
            <w:r>
              <w:t xml:space="preserve">Total Quotation Estimate Amount</w:t>
            </w:r>
          </w:p>
        </w:tc>
        <w:tc>
          <w:tcPr/>
          <w:p>
            <w:pPr>
              <w:pStyle w:val="Compact"/>
              <w:jc w:val="left"/>
            </w:pPr>
            <w:r>
              <w:t xml:space="preserve">327,750</w:t>
            </w:r>
          </w:p>
        </w:tc>
        <w:tc>
          <w:tcPr/>
          <w:p>
            <w:pPr>
              <w:pStyle w:val="Compact"/>
              <w:jc w:val="left"/>
            </w:pPr>
            <w:r>
              <w:t xml:space="preserve">EGP</w:t>
            </w:r>
          </w:p>
        </w:tc>
      </w:tr>
    </w:tbl>
    <w:bookmarkEnd w:id="26"/>
    <w:bookmarkStart w:id="27" w:name="terms-and-conditions"/>
    <w:p>
      <w:pPr>
        <w:pStyle w:val="Heading2"/>
      </w:pPr>
      <w:r>
        <w:t xml:space="preserve">3. Terms and Conditions</w:t>
      </w:r>
    </w:p>
    <w:p>
      <w:pPr>
        <w:numPr>
          <w:ilvl w:val="0"/>
          <w:numId w:val="1001"/>
        </w:numPr>
        <w:pStyle w:val="Compact"/>
      </w:pPr>
      <w:r>
        <w:t xml:space="preserve">This</w:t>
      </w:r>
      <w:r>
        <w:t xml:space="preserve"> </w:t>
      </w:r>
      <w:r>
        <w:t xml:space="preserve">Quotation Estimate</w:t>
      </w:r>
      <w:r>
        <w:t xml:space="preserve"> </w:t>
      </w:r>
      <w:r>
        <w:t xml:space="preserve">is valid for a period of thirty (30) calendar days from the date of issue. Beyond this period, the</w:t>
      </w:r>
      <w:r>
        <w:t xml:space="preserve"> </w:t>
      </w:r>
      <w:r>
        <w:t xml:space="preserve">Auditor</w:t>
      </w:r>
      <w:r>
        <w:t xml:space="preserve"> </w:t>
      </w:r>
      <w:r>
        <w:t xml:space="preserve">reserves the right to revise fees due to market fluctuations in Egypt Cairo's professional services sector.</w:t>
      </w:r>
    </w:p>
    <w:p>
      <w:pPr>
        <w:numPr>
          <w:ilvl w:val="0"/>
          <w:numId w:val="1001"/>
        </w:numPr>
        <w:pStyle w:val="Compact"/>
      </w:pPr>
      <w:r>
        <w:t xml:space="preserve">Payment shall be made in Egyptian Pounds (EGP) via bank transfer to the account of Nile Delta Audit &amp; Assurance Group, National Bank of Egypt, Cairo Branch. A 50% advance payment is required to commence the Auditor engagement, with the remaining 50% due within fourteen (14) days of delivery of the final audit report.</w:t>
      </w:r>
    </w:p>
    <w:p>
      <w:pPr>
        <w:numPr>
          <w:ilvl w:val="0"/>
          <w:numId w:val="1001"/>
        </w:numPr>
        <w:pStyle w:val="Compact"/>
      </w:pPr>
      <w:r>
        <w:t xml:space="preserve">The</w:t>
      </w:r>
      <w:r>
        <w:t xml:space="preserve"> </w:t>
      </w:r>
      <w:r>
        <w:t xml:space="preserve">Auditor</w:t>
      </w:r>
      <w:r>
        <w:t xml:space="preserve"> </w:t>
      </w:r>
      <w:r>
        <w:t xml:space="preserve">shall maintain strict confidentiality of all financial records, trade secrets, and proprietary information encountered during the engagement in Egypt Cairo. A mutual Non-Disclosure Agreement (NDA) shall be executed prior to the commencement of fieldwork.</w:t>
      </w:r>
    </w:p>
    <w:p>
      <w:pPr>
        <w:numPr>
          <w:ilvl w:val="0"/>
          <w:numId w:val="1001"/>
        </w:numPr>
        <w:pStyle w:val="Compact"/>
      </w:pPr>
      <w:r>
        <w:t xml:space="preserve">All audit procedures shall be conducted in compliance with the Egyptian Companies Law, the Egyptian Tax Authority regulations, and the standards issued by the Egyptian Financial Accounting Authority (EFAA). The final Auditor's opinion shall be issued in both Arabic and English.</w:t>
      </w:r>
    </w:p>
    <w:p>
      <w:pPr>
        <w:numPr>
          <w:ilvl w:val="0"/>
          <w:numId w:val="1001"/>
        </w:numPr>
        <w:pStyle w:val="Compact"/>
      </w:pPr>
      <w:r>
        <w:t xml:space="preserve">The client agrees to provide timely access to all books of accounts, ledgers, bank statements, contracts, and physical assets located at the Egypt Cairo premises. Delays in access exceeding five (5) working days shall result in a proportional extension of the engagement timeline and additional charges at the daily rate specified in this Quotation Estimate.</w:t>
      </w:r>
    </w:p>
    <w:p>
      <w:pPr>
        <w:numPr>
          <w:ilvl w:val="0"/>
          <w:numId w:val="1001"/>
        </w:numPr>
        <w:pStyle w:val="Compact"/>
      </w:pPr>
      <w:r>
        <w:t xml:space="preserve">Any additional services beyond the scope defined herein (e.g., forensic audit, tax advisory, or special investigations) shall be subject to a separate supplementary Quotation Estimate issued by the Auditor prior to execution.</w:t>
      </w:r>
    </w:p>
    <w:p>
      <w:pPr>
        <w:numPr>
          <w:ilvl w:val="0"/>
          <w:numId w:val="1001"/>
        </w:numPr>
        <w:pStyle w:val="Compact"/>
      </w:pPr>
      <w:r>
        <w:t xml:space="preserve">This Quotation Estimate does not constitute a binding contract until both parties have signed and stamped the formal Engagement Letter. The terms herein are indicative and subject to final negotiation.</w:t>
      </w:r>
    </w:p>
    <w:p>
      <w:pPr>
        <w:numPr>
          <w:ilvl w:val="0"/>
          <w:numId w:val="1001"/>
        </w:numPr>
        <w:pStyle w:val="Compact"/>
      </w:pPr>
      <w:r>
        <w:t xml:space="preserve">Disputes arising from this engagement shall be resolved through arbitration in accordance with the Egyptian Arbitration Law No. 27 of 1994, with the seat of arbitration in Cairo, Egypt.</w:t>
      </w:r>
    </w:p>
    <w:bookmarkEnd w:id="27"/>
    <w:bookmarkStart w:id="28" w:name="acceptance-and-authorization"/>
    <w:p>
      <w:pPr>
        <w:pStyle w:val="Heading2"/>
      </w:pPr>
      <w:r>
        <w:t xml:space="preserve">4. Acceptance and Authorization</w:t>
      </w:r>
    </w:p>
    <w:p>
      <w:pPr>
        <w:pStyle w:val="FirstParagraph"/>
      </w:pPr>
      <w:r>
        <w:t xml:space="preserve">By signing below, both parties acknowledge that this</w:t>
      </w:r>
      <w:r>
        <w:t xml:space="preserve"> </w:t>
      </w:r>
      <w:r>
        <w:t xml:space="preserve">Quotation Estimate</w:t>
      </w:r>
      <w:r>
        <w:t xml:space="preserve"> </w:t>
      </w:r>
      <w:r>
        <w:t xml:space="preserve">for</w:t>
      </w:r>
      <w:r>
        <w:t xml:space="preserve"> </w:t>
      </w:r>
      <w:r>
        <w:t xml:space="preserve">Auditor</w:t>
      </w:r>
      <w:r>
        <w:t xml:space="preserve"> </w:t>
      </w:r>
      <w:r>
        <w:t xml:space="preserve">services in</w:t>
      </w:r>
      <w:r>
        <w:t xml:space="preserve"> </w:t>
      </w:r>
      <w:r>
        <w:t xml:space="preserve">Egypt Cairo</w:t>
      </w:r>
      <w:r>
        <w:t xml:space="preserve"> </w:t>
      </w:r>
      <w:r>
        <w:t xml:space="preserve">has been reviewed, understood, and accepted in its entirety. The engagement shall commence upon receipt of the advance payment and execution of the formal Engagement Letter.</w:t>
      </w:r>
    </w:p>
    <w:p>
      <w:pPr>
        <w:pStyle w:val="BodyText"/>
      </w:pPr>
      <w:r>
        <w:rPr>
          <w:bCs/>
          <w:b/>
        </w:rPr>
        <w:t xml:space="preserve">For Nile Delta Audit &amp; Assurance Group</w:t>
      </w:r>
    </w:p>
    <w:p>
      <w:pPr>
        <w:pStyle w:val="BodyText"/>
      </w:pPr>
      <w:r>
        <w:t xml:space="preserve">Certified Public Auditor (CPA)</w:t>
      </w:r>
    </w:p>
    <w:p>
      <w:pPr>
        <w:pStyle w:val="BodyText"/>
      </w:pPr>
      <w:r>
        <w:t xml:space="preserve">Name: Dr. Mahmoud Abdel-Rahman</w:t>
      </w:r>
      <w:r>
        <w:br/>
      </w:r>
      <w:r>
        <w:t xml:space="preserve">Signature &amp; Stamp: _________________________</w:t>
      </w:r>
      <w:r>
        <w:br/>
      </w:r>
      <w:r>
        <w:t xml:space="preserve">Date: _________________________</w:t>
      </w:r>
    </w:p>
    <w:p>
      <w:pPr>
        <w:pStyle w:val="BodyText"/>
      </w:pPr>
      <w:r>
        <w:rPr>
          <w:bCs/>
          <w:b/>
        </w:rPr>
        <w:t xml:space="preserve">For Al-Nile Manufacturing &amp; Trading Co.</w:t>
      </w:r>
    </w:p>
    <w:p>
      <w:pPr>
        <w:pStyle w:val="BodyText"/>
      </w:pPr>
      <w:r>
        <w:t xml:space="preserve">Chief Financial Officer</w:t>
      </w:r>
    </w:p>
    <w:p>
      <w:pPr>
        <w:pStyle w:val="BodyText"/>
      </w:pPr>
      <w:r>
        <w:t xml:space="preserve">Name: Mr. Hassan El-Sayed</w:t>
      </w:r>
      <w:r>
        <w:br/>
      </w:r>
      <w:r>
        <w:t xml:space="preserve">Signature &amp; Stamp: _________________________</w:t>
      </w:r>
      <w:r>
        <w:br/>
      </w:r>
      <w:r>
        <w:t xml:space="preserve">Date: _________________________</w:t>
      </w:r>
    </w:p>
    <w:p>
      <w:pPr>
        <w:pStyle w:val="BodyText"/>
      </w:pPr>
      <w:r>
        <w:t xml:space="preserve">Nile Delta Audit &amp; Assurance Group — 12 Tahrir Square, Cairo, Egypt 11511 — License No: EAA-2019-00347</w:t>
      </w:r>
    </w:p>
    <w:p>
      <w:pPr>
        <w:pStyle w:val="BodyText"/>
      </w:pPr>
      <w:r>
        <w:t xml:space="preserve">This Quotation Estimate is the property of Nile Delta Audit &amp; Assurance Group. Unauthorized reproduction or distribution is prohibited.</w:t>
      </w:r>
    </w:p>
    <w:p>
      <w:pPr>
        <w:pStyle w:val="BodyText"/>
      </w:pPr>
      <w:r>
        <w:t xml:space="preserve">Document generated on 14 June 2025 — Page 1 of 1</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Auditor Services - Egypt Cairo</dc:title>
  <dc:creator/>
  <dc:language>en</dc:language>
  <cp:keywords/>
  <dcterms:created xsi:type="dcterms:W3CDTF">2026-10-10T03:28:46Z</dcterms:created>
  <dcterms:modified xsi:type="dcterms:W3CDTF">2026-10-10T03:28:46Z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