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frankfurt-audit-advisory-gmbh"/>
    <w:p>
      <w:pPr>
        <w:pStyle w:val="Heading1"/>
      </w:pPr>
      <w:r>
        <w:t xml:space="preserve">Frankfurt Audit &amp; Advisory GmbH</w:t>
      </w:r>
    </w:p>
    <w:p>
      <w:pPr>
        <w:pStyle w:val="FirstParagraph"/>
      </w:pPr>
      <w:r>
        <w:t xml:space="preserve">Neue Mainzer Str. 142, 60311 Frankfurt am Main, Germany</w:t>
      </w:r>
    </w:p>
    <w:p>
      <w:pPr>
        <w:pStyle w:val="BodyText"/>
      </w:pPr>
      <w:r>
        <w:t xml:space="preserve">Phone: +49 69 1234 5678 | Email: quotations@frankfurt-audit-advisory.de</w:t>
      </w:r>
    </w:p>
    <w:p>
      <w:pPr>
        <w:pStyle w:val="BodyText"/>
      </w:pPr>
      <w:r>
        <w:t xml:space="preserve">USt-IdNr.: DE 312 456 789 | HRB 123456 Frankfurt am Main</w:t>
      </w:r>
    </w:p>
    <w:bookmarkEnd w:id="20"/>
    <w:bookmarkStart w:id="21" w:name="quotation-estimate"/>
    <w:p>
      <w:pPr>
        <w:pStyle w:val="Heading2"/>
      </w:pPr>
      <w:r>
        <w:t xml:space="preserve">QUOTATION ESTIMATE</w:t>
      </w:r>
    </w:p>
    <w:p>
      <w:pPr>
        <w:pStyle w:val="FirstParagraph"/>
      </w:pPr>
      <w:r>
        <w:t xml:space="preserve">Reference No.: QE-2025-FRA-0847</w:t>
      </w:r>
    </w:p>
    <w:p>
      <w:pPr>
        <w:pStyle w:val="BodyText"/>
      </w:pPr>
      <w:r>
        <w:t xml:space="preserve">Date of Issue: 15 June 2025</w:t>
      </w:r>
    </w:p>
    <w:p>
      <w:pPr>
        <w:pStyle w:val="BodyText"/>
      </w:pPr>
      <w:r>
        <w:t xml:space="preserve">Valid Until: 15 July 2025</w:t>
      </w:r>
    </w:p>
    <w:bookmarkEnd w:id="21"/>
    <w:bookmarkStart w:id="22" w:name="client-information"/>
    <w:p>
      <w:pPr>
        <w:pStyle w:val="Heading3"/>
      </w:pPr>
      <w:r>
        <w:t xml:space="preserve">Client Information</w:t>
      </w:r>
    </w:p>
    <w:p>
      <w:pPr>
        <w:pStyle w:val="FirstParagraph"/>
      </w:pPr>
      <w:r>
        <w:rPr>
          <w:bCs/>
          <w:b/>
        </w:rPr>
        <w:t xml:space="preserve">Prepared For:</w:t>
      </w:r>
      <w:r>
        <w:t xml:space="preserve"> </w:t>
      </w:r>
      <w:r>
        <w:t xml:space="preserve">Rhein-Main Industrial Holdings AG</w:t>
      </w:r>
    </w:p>
    <w:p>
      <w:pPr>
        <w:pStyle w:val="BodyText"/>
      </w:pPr>
      <w:r>
        <w:rPr>
          <w:bCs/>
          <w:b/>
        </w:rPr>
        <w:t xml:space="preserve">Address:</w:t>
      </w:r>
      <w:r>
        <w:t xml:space="preserve"> </w:t>
      </w:r>
      <w:r>
        <w:t xml:space="preserve">Zeil 48, 60313 Frankfurt am Main, Germany</w:t>
      </w:r>
    </w:p>
    <w:p>
      <w:pPr>
        <w:pStyle w:val="BodyText"/>
      </w:pPr>
      <w:r>
        <w:rPr>
          <w:bCs/>
          <w:b/>
        </w:rPr>
        <w:t xml:space="preserve">Contact Person:</w:t>
      </w:r>
      <w:r>
        <w:t xml:space="preserve"> </w:t>
      </w:r>
      <w:r>
        <w:t xml:space="preserve">Dr. Markus Weber, CFO</w:t>
      </w:r>
    </w:p>
    <w:p>
      <w:pPr>
        <w:pStyle w:val="BodyText"/>
      </w:pPr>
      <w:r>
        <w:rPr>
          <w:bCs/>
          <w:b/>
        </w:rPr>
        <w:t xml:space="preserve">Email:</w:t>
      </w:r>
      <w:r>
        <w:t xml:space="preserve"> </w:t>
      </w:r>
      <w:r>
        <w:t xml:space="preserve">m.weber@rheinmain-industrial.de</w:t>
      </w:r>
    </w:p>
    <w:p>
      <w:pPr>
        <w:pStyle w:val="BodyText"/>
      </w:pPr>
      <w:r>
        <w:rPr>
          <w:bCs/>
          <w:b/>
        </w:rPr>
        <w:t xml:space="preserve">Service Category:</w:t>
      </w:r>
      <w:r>
        <w:t xml:space="preserve"> </w:t>
      </w:r>
      <w:r>
        <w:t xml:space="preserve">Independent Auditor Engagement</w:t>
      </w:r>
    </w:p>
    <w:p>
      <w:pPr>
        <w:pStyle w:val="BodyText"/>
      </w:pPr>
      <w:r>
        <w:rPr>
          <w:bCs/>
          <w:b/>
        </w:rPr>
        <w:t xml:space="preserve">Engagement Period:</w:t>
      </w:r>
      <w:r>
        <w:t xml:space="preserve"> </w:t>
      </w:r>
      <w:r>
        <w:t xml:space="preserve">1 September 2025 – 31 March 2026</w:t>
      </w:r>
    </w:p>
    <w:p>
      <w:pPr>
        <w:pStyle w:val="BodyText"/>
      </w:pPr>
      <w:r>
        <w:rPr>
          <w:bCs/>
          <w:b/>
        </w:rPr>
        <w:t xml:space="preserve">Regulatory Framework:</w:t>
      </w:r>
      <w:r>
        <w:t xml:space="preserve"> </w:t>
      </w:r>
      <w:r>
        <w:t xml:space="preserve">HGB, IFRS, EU Audit Regulation (EU) No 537/2014</w:t>
      </w:r>
    </w:p>
    <w:p>
      <w:pPr>
        <w:pStyle w:val="BodyText"/>
      </w:pPr>
      <w:r>
        <w:rPr>
          <w:bCs/>
          <w:b/>
        </w:rPr>
        <w:t xml:space="preserve">Location of Work:</w:t>
      </w:r>
      <w:r>
        <w:t xml:space="preserve"> </w:t>
      </w:r>
      <w:r>
        <w:t xml:space="preserve">Germany Frankfurt (Primary Office &amp; Regional Sites)</w:t>
      </w:r>
    </w:p>
    <w:bookmarkEnd w:id="22"/>
    <w:bookmarkStart w:id="23" w:name="scope-of-auditor-services"/>
    <w:p>
      <w:pPr>
        <w:pStyle w:val="Heading3"/>
      </w:pPr>
      <w:r>
        <w:t xml:space="preserve">Scope of Auditor Services</w:t>
      </w:r>
    </w:p>
    <w:p>
      <w:pPr>
        <w:pStyle w:val="FirstParagraph"/>
      </w:pPr>
      <w:r>
        <w:t xml:space="preserve">This Quotation Estimate outlines the comprehensive professional services to be rendered by our certified Auditor team at Frankfurt Audit &amp; Advisory GmbH for the fiscal year 2025/2026. The engagement is designed to meet the statutory requirements under German commercial law (Handelsgesetzbuch) and the European Union Audit Regulation, ensuring full compliance for operations based in Germany Frankfurt and its surrounding metropolitan region.</w:t>
      </w:r>
    </w:p>
    <w:p>
      <w:pPr>
        <w:pStyle w:val="BodyText"/>
      </w:pPr>
      <w:r>
        <w:t xml:space="preserve">The Auditor engagement encompasses a full statutory audit of the annual financial statements, a review of internal control systems, tax compliance verification, and a detailed assessment of risk management frameworks. All fieldwork will be conducted primarily at the client's headquarters in Germany Frankfurt, with supplementary site visits to operational facilities in the greater Frankfurt am Main area as required by the audit plan.</w:t>
      </w:r>
    </w:p>
    <w:bookmarkEnd w:id="23"/>
    <w:bookmarkStart w:id="24" w:name="detailed-quotation-estimate-line-items"/>
    <w:p>
      <w:pPr>
        <w:pStyle w:val="Heading3"/>
      </w:pPr>
      <w:r>
        <w:t xml:space="preserve">Detailed Quotation Estimate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Auditor Service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Subtotal (EUR)</w:t>
            </w:r>
          </w:p>
        </w:tc>
        <w:tc>
          <w:tcPr/>
          <w:p>
            <w:pPr>
              <w:pStyle w:val="Compact"/>
              <w:jc w:val="left"/>
            </w:pPr>
            <w:r>
              <w:t xml:space="preserve">Deliverable</w:t>
            </w:r>
          </w:p>
        </w:tc>
      </w:tr>
      <w:tr>
        <w:tc>
          <w:tcPr/>
          <w:p>
            <w:pPr>
              <w:pStyle w:val="Compact"/>
              <w:jc w:val="left"/>
            </w:pPr>
            <w:r>
              <w:t xml:space="preserve">1</w:t>
            </w:r>
          </w:p>
        </w:tc>
        <w:tc>
          <w:tcPr/>
          <w:p>
            <w:pPr>
              <w:pStyle w:val="Compact"/>
              <w:jc w:val="left"/>
            </w:pPr>
            <w:r>
              <w:t xml:space="preserve">Planning &amp; Risk Assessment – Initial Auditor engagement meeting, materiality determination, and audit strategy development for the Germany Frankfurt operations</w:t>
            </w:r>
          </w:p>
        </w:tc>
        <w:tc>
          <w:tcPr/>
          <w:p>
            <w:pPr>
              <w:pStyle w:val="Compact"/>
              <w:jc w:val="left"/>
            </w:pPr>
            <w:r>
              <w:t xml:space="preserve">40</w:t>
            </w:r>
          </w:p>
        </w:tc>
        <w:tc>
          <w:tcPr/>
          <w:p>
            <w:pPr>
              <w:pStyle w:val="Compact"/>
              <w:jc w:val="left"/>
            </w:pPr>
            <w:r>
              <w:t xml:space="preserve">185.00</w:t>
            </w:r>
          </w:p>
        </w:tc>
        <w:tc>
          <w:tcPr/>
          <w:p>
            <w:pPr>
              <w:pStyle w:val="Compact"/>
              <w:jc w:val="left"/>
            </w:pPr>
            <w:r>
              <w:t xml:space="preserve">7,400.00</w:t>
            </w:r>
          </w:p>
        </w:tc>
        <w:tc>
          <w:tcPr/>
          <w:p>
            <w:pPr>
              <w:pStyle w:val="Compact"/>
              <w:jc w:val="left"/>
            </w:pPr>
            <w:r>
              <w:t xml:space="preserve">Audit Plan &amp; Risk Matrix</w:t>
            </w:r>
          </w:p>
        </w:tc>
      </w:tr>
      <w:tr>
        <w:tc>
          <w:tcPr/>
          <w:p>
            <w:pPr>
              <w:pStyle w:val="Compact"/>
              <w:jc w:val="left"/>
            </w:pPr>
            <w:r>
              <w:t xml:space="preserve">2</w:t>
            </w:r>
          </w:p>
        </w:tc>
        <w:tc>
          <w:tcPr/>
          <w:p>
            <w:pPr>
              <w:pStyle w:val="Compact"/>
              <w:jc w:val="left"/>
            </w:pPr>
            <w:r>
              <w:t xml:space="preserve">Statutory Audit of Annual Financial Statements – Full examination of balance sheet, profit &amp; loss statement, and cash flow statement in accordance with HGB and IFRS standards</w:t>
            </w:r>
          </w:p>
        </w:tc>
        <w:tc>
          <w:tcPr/>
          <w:p>
            <w:pPr>
              <w:pStyle w:val="Compact"/>
              <w:jc w:val="left"/>
            </w:pPr>
            <w:r>
              <w:t xml:space="preserve">160</w:t>
            </w:r>
          </w:p>
        </w:tc>
        <w:tc>
          <w:tcPr/>
          <w:p>
            <w:pPr>
              <w:pStyle w:val="Compact"/>
              <w:jc w:val="left"/>
            </w:pPr>
            <w:r>
              <w:t xml:space="preserve">185.00</w:t>
            </w:r>
          </w:p>
        </w:tc>
        <w:tc>
          <w:tcPr/>
          <w:p>
            <w:pPr>
              <w:pStyle w:val="Compact"/>
              <w:jc w:val="left"/>
            </w:pPr>
            <w:r>
              <w:t xml:space="preserve">29,600.00</w:t>
            </w:r>
          </w:p>
        </w:tc>
        <w:tc>
          <w:tcPr/>
          <w:p>
            <w:pPr>
              <w:pStyle w:val="Compact"/>
              <w:jc w:val="left"/>
            </w:pPr>
            <w:r>
              <w:t xml:space="preserve">Auditor's Report (Wirtschaftsprüferbericht)</w:t>
            </w:r>
          </w:p>
        </w:tc>
      </w:tr>
      <w:tr>
        <w:tc>
          <w:tcPr/>
          <w:p>
            <w:pPr>
              <w:pStyle w:val="Compact"/>
              <w:jc w:val="left"/>
            </w:pPr>
            <w:r>
              <w:t xml:space="preserve">3</w:t>
            </w:r>
          </w:p>
        </w:tc>
        <w:tc>
          <w:tcPr/>
          <w:p>
            <w:pPr>
              <w:pStyle w:val="Compact"/>
              <w:jc w:val="left"/>
            </w:pPr>
            <w:r>
              <w:t xml:space="preserve">Internal Control &amp; Compliance Review – Assessment of SOX-equivalent controls, segregation of duties, and regulatory compliance specific to Germany Frankfurt business operations</w:t>
            </w:r>
          </w:p>
        </w:tc>
        <w:tc>
          <w:tcPr/>
          <w:p>
            <w:pPr>
              <w:pStyle w:val="Compact"/>
              <w:jc w:val="left"/>
            </w:pPr>
            <w:r>
              <w:t xml:space="preserve">80</w:t>
            </w:r>
          </w:p>
        </w:tc>
        <w:tc>
          <w:tcPr/>
          <w:p>
            <w:pPr>
              <w:pStyle w:val="Compact"/>
              <w:jc w:val="left"/>
            </w:pPr>
            <w:r>
              <w:t xml:space="preserve">170.00</w:t>
            </w:r>
          </w:p>
        </w:tc>
        <w:tc>
          <w:tcPr/>
          <w:p>
            <w:pPr>
              <w:pStyle w:val="Compact"/>
              <w:jc w:val="left"/>
            </w:pPr>
            <w:r>
              <w:t xml:space="preserve">13,600.00</w:t>
            </w:r>
          </w:p>
        </w:tc>
        <w:tc>
          <w:tcPr/>
          <w:p>
            <w:pPr>
              <w:pStyle w:val="Compact"/>
              <w:jc w:val="left"/>
            </w:pPr>
            <w:r>
              <w:t xml:space="preserve">Control Deficiency Report</w:t>
            </w:r>
          </w:p>
        </w:tc>
      </w:tr>
      <w:tr>
        <w:tc>
          <w:tcPr/>
          <w:p>
            <w:pPr>
              <w:pStyle w:val="Compact"/>
              <w:jc w:val="left"/>
            </w:pPr>
            <w:r>
              <w:t xml:space="preserve">4</w:t>
            </w:r>
          </w:p>
        </w:tc>
        <w:tc>
          <w:tcPr/>
          <w:p>
            <w:pPr>
              <w:pStyle w:val="Compact"/>
              <w:jc w:val="left"/>
            </w:pPr>
            <w:r>
              <w:t xml:space="preserve">Tax Compliance &amp; Transfer Pricing Audit – Verification of corporate tax filings, VAT compliance, and intercompany transaction pricing for entities registered in Germany Frankfurt</w:t>
            </w:r>
          </w:p>
        </w:tc>
        <w:tc>
          <w:tcPr/>
          <w:p>
            <w:pPr>
              <w:pStyle w:val="Compact"/>
              <w:jc w:val="left"/>
            </w:pPr>
            <w:r>
              <w:t xml:space="preserve">60</w:t>
            </w:r>
          </w:p>
        </w:tc>
        <w:tc>
          <w:tcPr/>
          <w:p>
            <w:pPr>
              <w:pStyle w:val="Compact"/>
              <w:jc w:val="left"/>
            </w:pPr>
            <w:r>
              <w:t xml:space="preserve">170.00</w:t>
            </w:r>
          </w:p>
        </w:tc>
        <w:tc>
          <w:tcPr/>
          <w:p>
            <w:pPr>
              <w:pStyle w:val="Compact"/>
              <w:jc w:val="left"/>
            </w:pPr>
            <w:r>
              <w:t xml:space="preserve">10,200.00</w:t>
            </w:r>
          </w:p>
        </w:tc>
        <w:tc>
          <w:tcPr/>
          <w:p>
            <w:pPr>
              <w:pStyle w:val="Compact"/>
              <w:jc w:val="left"/>
            </w:pPr>
            <w:r>
              <w:t xml:space="preserve">Tax Compliance Certificate</w:t>
            </w:r>
          </w:p>
        </w:tc>
      </w:tr>
      <w:tr>
        <w:tc>
          <w:tcPr/>
          <w:p>
            <w:pPr>
              <w:pStyle w:val="Compact"/>
              <w:jc w:val="left"/>
            </w:pPr>
            <w:r>
              <w:t xml:space="preserve">5</w:t>
            </w:r>
          </w:p>
        </w:tc>
        <w:tc>
          <w:tcPr/>
          <w:p>
            <w:pPr>
              <w:pStyle w:val="Compact"/>
              <w:jc w:val="left"/>
            </w:pPr>
            <w:r>
              <w:t xml:space="preserve">IT Audit &amp; Data Integrity Verification – Examination of ERP systems, access controls, and data migration processes supporting the Germany Frankfurt headquarters</w:t>
            </w:r>
          </w:p>
        </w:tc>
        <w:tc>
          <w:tcPr/>
          <w:p>
            <w:pPr>
              <w:pStyle w:val="Compact"/>
              <w:jc w:val="left"/>
            </w:pPr>
            <w:r>
              <w:t xml:space="preserve">50</w:t>
            </w:r>
          </w:p>
        </w:tc>
        <w:tc>
          <w:tcPr/>
          <w:p>
            <w:pPr>
              <w:pStyle w:val="Compact"/>
              <w:jc w:val="left"/>
            </w:pPr>
            <w:r>
              <w:t xml:space="preserve">195.00</w:t>
            </w:r>
          </w:p>
        </w:tc>
        <w:tc>
          <w:tcPr/>
          <w:p>
            <w:pPr>
              <w:pStyle w:val="Compact"/>
              <w:jc w:val="left"/>
            </w:pPr>
            <w:r>
              <w:t xml:space="preserve">9,750.00</w:t>
            </w:r>
          </w:p>
        </w:tc>
        <w:tc>
          <w:tcPr/>
          <w:p>
            <w:pPr>
              <w:pStyle w:val="Compact"/>
              <w:jc w:val="left"/>
            </w:pPr>
            <w:r>
              <w:t xml:space="preserve">IT Audit Findings Report</w:t>
            </w:r>
          </w:p>
        </w:tc>
      </w:tr>
      <w:tr>
        <w:tc>
          <w:tcPr/>
          <w:p>
            <w:pPr>
              <w:pStyle w:val="Compact"/>
              <w:jc w:val="left"/>
            </w:pPr>
            <w:r>
              <w:t xml:space="preserve">6</w:t>
            </w:r>
          </w:p>
        </w:tc>
        <w:tc>
          <w:tcPr/>
          <w:p>
            <w:pPr>
              <w:pStyle w:val="Compact"/>
              <w:jc w:val="left"/>
            </w:pPr>
            <w:r>
              <w:t xml:space="preserve">Management Letter &amp; Advisory Recommendations – Final Auditor summary of findings, corrective action recommendations, and strategic advisory notes for the board of directors</w:t>
            </w:r>
          </w:p>
        </w:tc>
        <w:tc>
          <w:tcPr/>
          <w:p>
            <w:pPr>
              <w:pStyle w:val="Compact"/>
              <w:jc w:val="left"/>
            </w:pPr>
            <w:r>
              <w:t xml:space="preserve">30</w:t>
            </w:r>
          </w:p>
        </w:tc>
        <w:tc>
          <w:tcPr/>
          <w:p>
            <w:pPr>
              <w:pStyle w:val="Compact"/>
              <w:jc w:val="left"/>
            </w:pPr>
            <w:r>
              <w:t xml:space="preserve">210.00</w:t>
            </w:r>
          </w:p>
        </w:tc>
        <w:tc>
          <w:tcPr/>
          <w:p>
            <w:pPr>
              <w:pStyle w:val="Compact"/>
              <w:jc w:val="left"/>
            </w:pPr>
            <w:r>
              <w:t xml:space="preserve">6,300.00</w:t>
            </w:r>
          </w:p>
        </w:tc>
        <w:tc>
          <w:tcPr/>
          <w:p>
            <w:pPr>
              <w:pStyle w:val="Compact"/>
              <w:jc w:val="left"/>
            </w:pPr>
            <w:r>
              <w:t xml:space="preserve">Management Letter</w:t>
            </w:r>
          </w:p>
        </w:tc>
      </w:tr>
      <w:tr>
        <w:tc>
          <w:tcPr/>
          <w:p>
            <w:pPr>
              <w:pStyle w:val="Compact"/>
              <w:jc w:val="left"/>
            </w:pPr>
            <w:r>
              <w:t xml:space="preserve">7</w:t>
            </w:r>
          </w:p>
        </w:tc>
        <w:tc>
          <w:tcPr/>
          <w:p>
            <w:pPr>
              <w:pStyle w:val="Compact"/>
              <w:jc w:val="left"/>
            </w:pPr>
            <w:r>
              <w:t xml:space="preserve">Regulatory Filing &amp; Reporting – Preparation and submission of audit documentation to the Bundesanzeiger and relevant German regulatory authorities in Frankfurt</w:t>
            </w:r>
          </w:p>
        </w:tc>
        <w:tc>
          <w:tcPr/>
          <w:p>
            <w:pPr>
              <w:pStyle w:val="Compact"/>
              <w:jc w:val="left"/>
            </w:pPr>
            <w:r>
              <w:t xml:space="preserve">20</w:t>
            </w:r>
          </w:p>
        </w:tc>
        <w:tc>
          <w:tcPr/>
          <w:p>
            <w:pPr>
              <w:pStyle w:val="Compact"/>
              <w:jc w:val="left"/>
            </w:pPr>
            <w:r>
              <w:t xml:space="preserve">170.00</w:t>
            </w:r>
          </w:p>
        </w:tc>
        <w:tc>
          <w:tcPr/>
          <w:p>
            <w:pPr>
              <w:pStyle w:val="Compact"/>
              <w:jc w:val="left"/>
            </w:pPr>
            <w:r>
              <w:t xml:space="preserve">3,400.00</w:t>
            </w:r>
          </w:p>
        </w:tc>
        <w:tc>
          <w:tcPr/>
          <w:p>
            <w:pPr>
              <w:pStyle w:val="Compact"/>
              <w:jc w:val="left"/>
            </w:pPr>
            <w:r>
              <w:t xml:space="preserve">Filing Confirmation</w:t>
            </w:r>
          </w:p>
        </w:tc>
      </w:tr>
      <w:tr>
        <w:tc>
          <w:tcPr>
            <w:gridSpan w:val="4"/>
          </w:tcPr>
          <w:p>
            <w:pPr>
              <w:pStyle w:val="Compact"/>
              <w:jc w:val="left"/>
            </w:pPr>
            <w:r>
              <w:t xml:space="preserve">Subtotal (Excluding VAT)</w:t>
            </w:r>
          </w:p>
        </w:tc>
        <w:tc>
          <w:tcPr/>
          <w:p>
            <w:pPr>
              <w:pStyle w:val="Compact"/>
              <w:jc w:val="left"/>
            </w:pPr>
            <w:r>
              <w:t xml:space="preserve">80,250.00</w:t>
            </w:r>
          </w:p>
        </w:tc>
        <w:tc>
          <w:tcPr/>
          <w:p>
            <w:pPr>
              <w:pStyle w:val="Compact"/>
            </w:pPr>
          </w:p>
        </w:tc>
      </w:tr>
      <w:tr>
        <w:tc>
          <w:tcPr>
            <w:gridSpan w:val="4"/>
          </w:tcPr>
          <w:p>
            <w:pPr>
              <w:pStyle w:val="Compact"/>
              <w:jc w:val="left"/>
            </w:pPr>
            <w:r>
              <w:t xml:space="preserve">VAT (19% – German Standard Rate)</w:t>
            </w:r>
          </w:p>
        </w:tc>
        <w:tc>
          <w:tcPr/>
          <w:p>
            <w:pPr>
              <w:pStyle w:val="Compact"/>
              <w:jc w:val="left"/>
            </w:pPr>
            <w:r>
              <w:t xml:space="preserve">15,247.50</w:t>
            </w:r>
          </w:p>
        </w:tc>
        <w:tc>
          <w:tcPr/>
          <w:p>
            <w:pPr>
              <w:pStyle w:val="Compact"/>
            </w:pPr>
          </w:p>
        </w:tc>
      </w:tr>
      <w:tr>
        <w:tc>
          <w:tcPr>
            <w:gridSpan w:val="4"/>
          </w:tcPr>
          <w:p>
            <w:pPr>
              <w:pStyle w:val="Compact"/>
              <w:jc w:val="left"/>
            </w:pPr>
            <w:r>
              <w:t xml:space="preserve">TOTAL QUOTATION ESTIMATE (Including VAT)</w:t>
            </w:r>
          </w:p>
        </w:tc>
        <w:tc>
          <w:tcPr/>
          <w:p>
            <w:pPr>
              <w:pStyle w:val="Compact"/>
              <w:jc w:val="left"/>
            </w:pPr>
            <w:r>
              <w:t xml:space="preserve">95,497.50</w:t>
            </w:r>
          </w:p>
        </w:tc>
        <w:tc>
          <w:tcPr/>
          <w:p>
            <w:pPr>
              <w:pStyle w:val="Compact"/>
            </w:pPr>
          </w:p>
        </w:tc>
      </w:tr>
    </w:tbl>
    <w:bookmarkEnd w:id="24"/>
    <w:bookmarkStart w:id="25" w:name="terms-and-conditions"/>
    <w:p>
      <w:pPr>
        <w:pStyle w:val="Heading3"/>
      </w:pPr>
      <w:r>
        <w:t xml:space="preserve">Terms and Conditions</w:t>
      </w:r>
    </w:p>
    <w:p>
      <w:pPr>
        <w:pStyle w:val="FirstParagraph"/>
      </w:pPr>
      <w:r>
        <w:rPr>
          <w:bCs/>
          <w:b/>
        </w:rPr>
        <w:t xml:space="preserve">1. Validity:</w:t>
      </w:r>
      <w:r>
        <w:t xml:space="preserve"> </w:t>
      </w:r>
      <w:r>
        <w:t xml:space="preserve">This Quotation Estimate is valid for a period of thirty (30) calendar days from the date of issue. After the expiry date, the Auditor service rates and total amounts may be subject to revision based on prevailing market conditions in Germany Frankfurt.</w:t>
      </w:r>
    </w:p>
    <w:p>
      <w:pPr>
        <w:pStyle w:val="BodyText"/>
      </w:pPr>
      <w:r>
        <w:rPr>
          <w:bCs/>
          <w:b/>
        </w:rPr>
        <w:t xml:space="preserve">2. Payment Terms:</w:t>
      </w:r>
      <w:r>
        <w:t xml:space="preserve"> </w:t>
      </w:r>
      <w:r>
        <w:t xml:space="preserve">Invoices shall be issued monthly in arrears. Payment is due within fourteen (14) days of invoice date via bank transfer to the designated account of Frankfurt Audit &amp; Advisory GmbH. Late payments shall incur interest at the statutory rate under Section 288 of the German Civil Code (BGB).</w:t>
      </w:r>
    </w:p>
    <w:p>
      <w:pPr>
        <w:pStyle w:val="BodyText"/>
      </w:pPr>
      <w:r>
        <w:rPr>
          <w:bCs/>
          <w:b/>
        </w:rPr>
        <w:t xml:space="preserve">3. Auditor Independence:</w:t>
      </w:r>
      <w:r>
        <w:t xml:space="preserve"> </w:t>
      </w:r>
      <w:r>
        <w:t xml:space="preserve">The Auditor team shall maintain full independence and objectivity in accordance with the German Institute of Certified Public Accountants (IDW) standards and EU Audit Regulation. No non-audit services that could impair independence shall be provided during the engagement period.</w:t>
      </w:r>
    </w:p>
    <w:p>
      <w:pPr>
        <w:pStyle w:val="BodyText"/>
      </w:pPr>
      <w:r>
        <w:rPr>
          <w:bCs/>
          <w:b/>
        </w:rPr>
        <w:t xml:space="preserve">4. Confidentiality:</w:t>
      </w:r>
      <w:r>
        <w:t xml:space="preserve"> </w:t>
      </w:r>
      <w:r>
        <w:t xml:space="preserve">All financial data, business records, and proprietary information accessed during the Auditor engagement in Germany Frankfurt shall be treated as strictly confidential and shall not be disclosed to any third party without written consent from the client.</w:t>
      </w:r>
    </w:p>
    <w:p>
      <w:pPr>
        <w:pStyle w:val="BodyText"/>
      </w:pPr>
      <w:r>
        <w:rPr>
          <w:bCs/>
          <w:b/>
        </w:rPr>
        <w:t xml:space="preserve">5. Liability:</w:t>
      </w:r>
      <w:r>
        <w:t xml:space="preserve"> </w:t>
      </w:r>
      <w:r>
        <w:t xml:space="preserve">The Auditor's liability for professional negligence shall be limited to the total fees stated in this Quotation Estimate, in accordance with Section 329 of the German Commercial Code (HGB).</w:t>
      </w:r>
    </w:p>
    <w:p>
      <w:pPr>
        <w:pStyle w:val="BodyText"/>
      </w:pPr>
      <w:r>
        <w:rPr>
          <w:bCs/>
          <w:b/>
        </w:rPr>
        <w:t xml:space="preserve">6. Governing Law:</w:t>
      </w:r>
      <w:r>
        <w:t xml:space="preserve"> </w:t>
      </w:r>
      <w:r>
        <w:t xml:space="preserve">This Quotation Estimate and the resulting Auditor engagement shall be governed by and construed in accordance with the laws of the Federal Republic of Germany. Any disputes shall be subject to the exclusive jurisdiction of the competent courts in Frankfurt am Main.</w:t>
      </w:r>
    </w:p>
    <w:p>
      <w:pPr>
        <w:pStyle w:val="BodyText"/>
      </w:pPr>
      <w:r>
        <w:rPr>
          <w:bCs/>
          <w:b/>
        </w:rPr>
        <w:t xml:space="preserve">7. Cancellation:</w:t>
      </w:r>
      <w:r>
        <w:t xml:space="preserve"> </w:t>
      </w:r>
      <w:r>
        <w:t xml:space="preserve">Either party may terminate the Auditor engagement with a written notice of thirty (30) days. In the event of early termination, fees for work already performed up to the termination date shall remain payable.</w:t>
      </w:r>
    </w:p>
    <w:bookmarkEnd w:id="25"/>
    <w:bookmarkStart w:id="26" w:name="acceptance-and-authorization"/>
    <w:p>
      <w:pPr>
        <w:pStyle w:val="Heading3"/>
      </w:pPr>
      <w:r>
        <w:t xml:space="preserve">Acceptance and Authorization</w:t>
      </w:r>
    </w:p>
    <w:p>
      <w:pPr>
        <w:pStyle w:val="FirstParagraph"/>
      </w:pPr>
      <w:r>
        <w:t xml:space="preserve">By signing below, the client acknowledges and accepts this Quotation Estimate for the Auditor services described herein. The engagement shall commence on the agreed start date, and all terms and conditions set forth in this document shall apply in full.</w:t>
      </w:r>
    </w:p>
    <w:p>
      <w:pPr>
        <w:pStyle w:val="BodyText"/>
      </w:pPr>
      <w:r>
        <w:rPr>
          <w:bCs/>
          <w:b/>
        </w:rPr>
        <w:t xml:space="preserve">For Frankfurt Audit &amp; Advisory GmbH (Auditor)</w:t>
      </w:r>
    </w:p>
    <w:p>
      <w:pPr>
        <w:pStyle w:val="BodyText"/>
      </w:pPr>
      <w:r>
        <w:t xml:space="preserve">Name: ___________________________</w:t>
      </w:r>
    </w:p>
    <w:p>
      <w:pPr>
        <w:pStyle w:val="BodyText"/>
      </w:pPr>
      <w:r>
        <w:t xml:space="preserve">Title: Wirtschaftsprüfer (CPA)</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Rhein-Main Industrial Holdings AG (Client)</w:t>
      </w:r>
    </w:p>
    <w:p>
      <w:pPr>
        <w:pStyle w:val="BodyText"/>
      </w:pPr>
      <w:r>
        <w:t xml:space="preserve">Name: ___________________________</w:t>
      </w:r>
    </w:p>
    <w:p>
      <w:pPr>
        <w:pStyle w:val="BodyText"/>
      </w:pPr>
      <w:r>
        <w:t xml:space="preserve">Title: Chief Financial Officer</w:t>
      </w:r>
    </w:p>
    <w:p>
      <w:pPr>
        <w:pStyle w:val="BodyText"/>
      </w:pPr>
      <w:r>
        <w:t xml:space="preserve">Signature: ___________________________</w:t>
      </w:r>
    </w:p>
    <w:p>
      <w:pPr>
        <w:pStyle w:val="BodyText"/>
      </w:pPr>
      <w:r>
        <w:t xml:space="preserve">Date: ___________________________</w:t>
      </w:r>
    </w:p>
    <w:bookmarkEnd w:id="26"/>
    <w:p>
      <w:pPr>
        <w:pStyle w:val="BodyText"/>
      </w:pPr>
      <w:r>
        <w:t xml:space="preserve">This Quotation Estimate document was prepared by Frankfurt Audit &amp; Advisory GmbH, a registered firm of certified public auditors (Wirtschaftsprüfungsgesellschaft) based in Germany Frankfurt. Reference: QE-2025-FRA-0847. This document is confidential and intended solely for the named recipient. Unauthorized reproduction or distribution is prohibited under German copyright law (Urheberrechtsgesetz).</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Germany Frankfurt</dc:title>
  <dc:creator/>
  <dc:language>en</dc:language>
  <cp:keywords/>
  <dcterms:created xsi:type="dcterms:W3CDTF">2026-10-10T02:19:38Z</dcterms:created>
  <dcterms:modified xsi:type="dcterms:W3CDTF">2026-10-10T02:19:38Z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