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Auditor</w:t>
      </w:r>
      <w:r>
        <w:t xml:space="preserve"> </w:t>
      </w:r>
      <w:r>
        <w:t xml:space="preserve">Services</w:t>
      </w:r>
      <w:r>
        <w:t xml:space="preserve"> </w:t>
      </w:r>
      <w:r>
        <w:t xml:space="preserve">-</w:t>
      </w:r>
      <w:r>
        <w:t xml:space="preserve"> </w:t>
      </w:r>
      <w:r>
        <w:t xml:space="preserve">Germany</w:t>
      </w:r>
      <w:r>
        <w:t xml:space="preserve"> </w:t>
      </w:r>
      <w:r>
        <w:t xml:space="preserve">Munich</w:t>
      </w:r>
    </w:p>
    <w:bookmarkStart w:id="20" w:name="quotation-estimate"/>
    <w:p>
      <w:pPr>
        <w:pStyle w:val="Heading1"/>
      </w:pPr>
      <w:r>
        <w:t xml:space="preserve">Quotation Estimate</w:t>
      </w:r>
    </w:p>
    <w:p>
      <w:pPr>
        <w:pStyle w:val="FirstParagraph"/>
      </w:pPr>
      <w:r>
        <w:rPr>
          <w:bCs/>
          <w:b/>
        </w:rPr>
        <w:t xml:space="preserve">Meridian Audit &amp; Advisory GmbH</w:t>
      </w:r>
    </w:p>
    <w:p>
      <w:pPr>
        <w:pStyle w:val="BodyText"/>
      </w:pPr>
      <w:r>
        <w:t xml:space="preserve">Maximilianstraße 42, 80539 Munich, Germany</w:t>
      </w:r>
    </w:p>
    <w:p>
      <w:pPr>
        <w:pStyle w:val="BodyText"/>
      </w:pPr>
      <w:r>
        <w:t xml:space="preserve">Phone: +49 89 5550 1234 | Email: quotations@meridian-audit.de</w:t>
      </w:r>
    </w:p>
    <w:p>
      <w:pPr>
        <w:pStyle w:val="BodyText"/>
      </w:pPr>
      <w:r>
        <w:t xml:space="preserve">USt-IdNr.: DE 312 456 789 | HRB 245 678, Amtsgericht München</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QE-2025-MUC-0487</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September 2025 (90 days)</w:t>
            </w:r>
          </w:p>
        </w:tc>
      </w:tr>
      <w:tr>
        <w:tc>
          <w:tcPr/>
          <w:p>
            <w:pPr>
              <w:pStyle w:val="Compact"/>
              <w:jc w:val="left"/>
            </w:pPr>
            <w:r>
              <w:t xml:space="preserve">Prepared For</w:t>
            </w:r>
          </w:p>
        </w:tc>
        <w:tc>
          <w:tcPr/>
          <w:p>
            <w:pPr>
              <w:pStyle w:val="Compact"/>
              <w:jc w:val="left"/>
            </w:pPr>
            <w:r>
              <w:t xml:space="preserve">Bavarian Industrial Holdings AG, Leopoldstraße 18, 80802 Munich, Germany</w:t>
            </w:r>
          </w:p>
        </w:tc>
      </w:tr>
      <w:tr>
        <w:tc>
          <w:tcPr/>
          <w:p>
            <w:pPr>
              <w:pStyle w:val="Compact"/>
              <w:jc w:val="left"/>
            </w:pPr>
            <w:r>
              <w:t xml:space="preserve">Prepared By</w:t>
            </w:r>
          </w:p>
        </w:tc>
        <w:tc>
          <w:tcPr/>
          <w:p>
            <w:pPr>
              <w:pStyle w:val="Compact"/>
              <w:jc w:val="left"/>
            </w:pPr>
            <w:r>
              <w:t xml:space="preserve">Dr. Katharina Vogel, Lead Auditor, Meridian Audit &amp; Advisory GmbH</w:t>
            </w:r>
          </w:p>
        </w:tc>
      </w:tr>
      <w:tr>
        <w:tc>
          <w:tcPr/>
          <w:p>
            <w:pPr>
              <w:pStyle w:val="Compact"/>
              <w:jc w:val="left"/>
            </w:pPr>
            <w:r>
              <w:t xml:space="preserve">Service Location</w:t>
            </w:r>
          </w:p>
        </w:tc>
        <w:tc>
          <w:tcPr/>
          <w:p>
            <w:pPr>
              <w:pStyle w:val="Compact"/>
              <w:jc w:val="left"/>
            </w:pPr>
            <w:r>
              <w:t xml:space="preserve">Munich, Germany (primary) with satellite offices in Augsburg and Nuremberg</w:t>
            </w:r>
          </w:p>
        </w:tc>
      </w:tr>
      <w:tr>
        <w:tc>
          <w:tcPr/>
          <w:p>
            <w:pPr>
              <w:pStyle w:val="Compact"/>
              <w:jc w:val="left"/>
            </w:pPr>
            <w:r>
              <w:t xml:space="preserve">Engagement Period</w:t>
            </w:r>
          </w:p>
        </w:tc>
        <w:tc>
          <w:tcPr/>
          <w:p>
            <w:pPr>
              <w:pStyle w:val="Compact"/>
              <w:jc w:val="left"/>
            </w:pPr>
            <w:r>
              <w:t xml:space="preserve">1 September 2025 – 31 December 2025</w:t>
            </w:r>
          </w:p>
        </w:tc>
      </w:tr>
    </w:tbl>
    <w:bookmarkStart w:id="21" w:name="purpose-of-this-quotation-estimate"/>
    <w:p>
      <w:pPr>
        <w:pStyle w:val="Heading2"/>
      </w:pPr>
      <w:r>
        <w:t xml:space="preserve">1. Purpose of This Quotation Estimate</w:t>
      </w:r>
    </w:p>
    <w:p>
      <w:pPr>
        <w:pStyle w:val="FirstParagraph"/>
      </w:pPr>
      <w:r>
        <w:t xml:space="preserve">This Quotation Estimate is issued by Meridian Audit &amp; Advisory GmbH to Bavarian Industrial Holdings AG in connection with the engagement of a qualified Auditor to perform statutory and internal audit services within the jurisdiction of Germany Munich. This document sets out the full scope of work, the itemised cost structure, applicable regulatory references under German commercial law (HGB) and the European Union Audit Regulation (EU) No 537/2014, as well as the commercial terms governing the Auditor engagement. All figures presented in this Quotation Estimate are exclusive of German Value Added Tax (Mehrwertsteuer) at the standard rate of 19 percent, which will be added at the time of invoicing.</w:t>
      </w:r>
    </w:p>
    <w:bookmarkEnd w:id="21"/>
    <w:bookmarkStart w:id="22" w:name="scope-of-auditor-services"/>
    <w:p>
      <w:pPr>
        <w:pStyle w:val="Heading2"/>
      </w:pPr>
      <w:r>
        <w:t xml:space="preserve">2. Scope of Auditor Services</w:t>
      </w:r>
    </w:p>
    <w:p>
      <w:pPr>
        <w:pStyle w:val="FirstParagraph"/>
      </w:pPr>
      <w:r>
        <w:t xml:space="preserve">The Auditor, designated as Dr. Katharina Vogel and supported by a team of four certified public auditors (Wirtschaftsprüfer) registered with the Wirtschaftsprüferkammer in Germany Munich, shall perform the following services during the engagement period:</w:t>
      </w:r>
    </w:p>
    <w:p>
      <w:pPr>
        <w:numPr>
          <w:ilvl w:val="0"/>
          <w:numId w:val="1001"/>
        </w:numPr>
        <w:pStyle w:val="Compact"/>
      </w:pPr>
      <w:r>
        <w:rPr>
          <w:bCs/>
          <w:b/>
        </w:rPr>
        <w:t xml:space="preserve">Statutory Financial Audit:</w:t>
      </w:r>
      <w:r>
        <w:t xml:space="preserve"> </w:t>
      </w:r>
      <w:r>
        <w:t xml:space="preserve">Full examination of the consolidated financial statements of Bavarian Industrial Holdings AG and its twelve subsidiaries in accordance with German Commercial Code (HGB) §§ 238–331 and International Standards on Auditing (ISA) as adopted in the EU. The Auditor shall issue an unqualified or qualified audit opinion to the supervisory board (Aufsichtsrat) by 28 February 2026.</w:t>
      </w:r>
    </w:p>
    <w:p>
      <w:pPr>
        <w:numPr>
          <w:ilvl w:val="0"/>
          <w:numId w:val="1001"/>
        </w:numPr>
        <w:pStyle w:val="Compact"/>
      </w:pPr>
      <w:r>
        <w:rPr>
          <w:bCs/>
          <w:b/>
        </w:rPr>
        <w:t xml:space="preserve">Internal Control Assessment:</w:t>
      </w:r>
      <w:r>
        <w:t xml:space="preserve"> </w:t>
      </w:r>
      <w:r>
        <w:t xml:space="preserve">Review of the internal control and risk management framework across all Munich-based operational sites, including the headquarters at Leopoldstraße 18 and the logistics centre in the Munich-Freising industrial zone.</w:t>
      </w:r>
    </w:p>
    <w:p>
      <w:pPr>
        <w:numPr>
          <w:ilvl w:val="0"/>
          <w:numId w:val="1001"/>
        </w:numPr>
        <w:pStyle w:val="Compact"/>
      </w:pPr>
      <w:r>
        <w:rPr>
          <w:bCs/>
          <w:b/>
        </w:rPr>
        <w:t xml:space="preserve">Compliance Audit:</w:t>
      </w:r>
      <w:r>
        <w:t xml:space="preserve"> </w:t>
      </w:r>
      <w:r>
        <w:t xml:space="preserve">Verification of adherence to German tax law (Abgabenordnung), anti-money-laundering regulations (Geldwäschegesetz), and sector-specific regulatory requirements applicable to industrial manufacturing entities in Germany Munich.</w:t>
      </w:r>
    </w:p>
    <w:p>
      <w:pPr>
        <w:numPr>
          <w:ilvl w:val="0"/>
          <w:numId w:val="1001"/>
        </w:numPr>
        <w:pStyle w:val="Compact"/>
      </w:pPr>
      <w:r>
        <w:rPr>
          <w:bCs/>
          <w:b/>
        </w:rPr>
        <w:t xml:space="preserve">IT Audit:</w:t>
      </w:r>
      <w:r>
        <w:t xml:space="preserve"> </w:t>
      </w:r>
      <w:r>
        <w:t xml:space="preserve">Assessment of the IT general controls and application controls supporting the financial reporting systems, including the SAP S/4HANA environment deployed at the Munich headquarters.</w:t>
      </w:r>
    </w:p>
    <w:p>
      <w:pPr>
        <w:numPr>
          <w:ilvl w:val="0"/>
          <w:numId w:val="1001"/>
        </w:numPr>
        <w:pStyle w:val="Compact"/>
      </w:pPr>
      <w:r>
        <w:rPr>
          <w:bCs/>
          <w:b/>
        </w:rPr>
        <w:t xml:space="preserve">Interim Review:</w:t>
      </w:r>
      <w:r>
        <w:t xml:space="preserve"> </w:t>
      </w:r>
      <w:r>
        <w:t xml:space="preserve">A half-yearly interim review of the condensed financial statements as required by the German Securities Trading Act (WpHG) for listed entities.</w:t>
      </w:r>
    </w:p>
    <w:bookmarkEnd w:id="22"/>
    <w:bookmarkStart w:id="23" w:name="itemised-cost-structure"/>
    <w:p>
      <w:pPr>
        <w:pStyle w:val="Heading2"/>
      </w:pPr>
      <w:r>
        <w:t xml:space="preserve">3. Itemised Cost Structure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Hours</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3.1</w:t>
            </w:r>
          </w:p>
        </w:tc>
        <w:tc>
          <w:tcPr/>
          <w:p>
            <w:pPr>
              <w:pStyle w:val="Compact"/>
              <w:jc w:val="left"/>
            </w:pPr>
            <w:r>
              <w:t xml:space="preserve">Statutory Financial Audit – Lead Auditor &amp; Senior Team</w:t>
            </w:r>
          </w:p>
        </w:tc>
        <w:tc>
          <w:tcPr/>
          <w:p>
            <w:pPr>
              <w:pStyle w:val="Compact"/>
              <w:jc w:val="left"/>
            </w:pPr>
            <w:r>
              <w:t xml:space="preserve">420</w:t>
            </w:r>
          </w:p>
        </w:tc>
        <w:tc>
          <w:tcPr/>
          <w:p>
            <w:pPr>
              <w:pStyle w:val="Compact"/>
              <w:jc w:val="left"/>
            </w:pPr>
            <w:r>
              <w:t xml:space="preserve">285.00</w:t>
            </w:r>
          </w:p>
        </w:tc>
        <w:tc>
          <w:tcPr/>
          <w:p>
            <w:pPr>
              <w:pStyle w:val="Compact"/>
              <w:jc w:val="left"/>
            </w:pPr>
            <w:r>
              <w:t xml:space="preserve">119,700.00</w:t>
            </w:r>
          </w:p>
        </w:tc>
      </w:tr>
      <w:tr>
        <w:tc>
          <w:tcPr/>
          <w:p>
            <w:pPr>
              <w:pStyle w:val="Compact"/>
              <w:jc w:val="left"/>
            </w:pPr>
            <w:r>
              <w:t xml:space="preserve">3.2</w:t>
            </w:r>
          </w:p>
        </w:tc>
        <w:tc>
          <w:tcPr/>
          <w:p>
            <w:pPr>
              <w:pStyle w:val="Compact"/>
              <w:jc w:val="left"/>
            </w:pPr>
            <w:r>
              <w:t xml:space="preserve">Statutory Financial Audit – Audit Associates</w:t>
            </w:r>
          </w:p>
        </w:tc>
        <w:tc>
          <w:tcPr/>
          <w:p>
            <w:pPr>
              <w:pStyle w:val="Compact"/>
              <w:jc w:val="left"/>
            </w:pPr>
            <w:r>
              <w:t xml:space="preserve">680</w:t>
            </w:r>
          </w:p>
        </w:tc>
        <w:tc>
          <w:tcPr/>
          <w:p>
            <w:pPr>
              <w:pStyle w:val="Compact"/>
              <w:jc w:val="left"/>
            </w:pPr>
            <w:r>
              <w:t xml:space="preserve">165.00</w:t>
            </w:r>
          </w:p>
        </w:tc>
        <w:tc>
          <w:tcPr/>
          <w:p>
            <w:pPr>
              <w:pStyle w:val="Compact"/>
              <w:jc w:val="left"/>
            </w:pPr>
            <w:r>
              <w:t xml:space="preserve">112,200.00</w:t>
            </w:r>
          </w:p>
        </w:tc>
      </w:tr>
      <w:tr>
        <w:tc>
          <w:tcPr/>
          <w:p>
            <w:pPr>
              <w:pStyle w:val="Compact"/>
              <w:jc w:val="left"/>
            </w:pPr>
            <w:r>
              <w:t xml:space="preserve">3.3</w:t>
            </w:r>
          </w:p>
        </w:tc>
        <w:tc>
          <w:tcPr/>
          <w:p>
            <w:pPr>
              <w:pStyle w:val="Compact"/>
              <w:jc w:val="left"/>
            </w:pPr>
            <w:r>
              <w:t xml:space="preserve">Internal Control &amp; Risk Management Assessment</w:t>
            </w:r>
          </w:p>
        </w:tc>
        <w:tc>
          <w:tcPr/>
          <w:p>
            <w:pPr>
              <w:pStyle w:val="Compact"/>
              <w:jc w:val="left"/>
            </w:pPr>
            <w:r>
              <w:t xml:space="preserve">240</w:t>
            </w:r>
          </w:p>
        </w:tc>
        <w:tc>
          <w:tcPr/>
          <w:p>
            <w:pPr>
              <w:pStyle w:val="Compact"/>
              <w:jc w:val="left"/>
            </w:pPr>
            <w:r>
              <w:t xml:space="preserve">245.00</w:t>
            </w:r>
          </w:p>
        </w:tc>
        <w:tc>
          <w:tcPr/>
          <w:p>
            <w:pPr>
              <w:pStyle w:val="Compact"/>
              <w:jc w:val="left"/>
            </w:pPr>
            <w:r>
              <w:t xml:space="preserve">58,800.00</w:t>
            </w:r>
          </w:p>
        </w:tc>
      </w:tr>
      <w:tr>
        <w:tc>
          <w:tcPr/>
          <w:p>
            <w:pPr>
              <w:pStyle w:val="Compact"/>
              <w:jc w:val="left"/>
            </w:pPr>
            <w:r>
              <w:t xml:space="preserve">3.4</w:t>
            </w:r>
          </w:p>
        </w:tc>
        <w:tc>
          <w:tcPr/>
          <w:p>
            <w:pPr>
              <w:pStyle w:val="Compact"/>
              <w:jc w:val="left"/>
            </w:pPr>
            <w:r>
              <w:t xml:space="preserve">Compliance Audit (Tax, AML, Sector-Specific)</w:t>
            </w:r>
          </w:p>
        </w:tc>
        <w:tc>
          <w:tcPr/>
          <w:p>
            <w:pPr>
              <w:pStyle w:val="Compact"/>
              <w:jc w:val="left"/>
            </w:pPr>
            <w:r>
              <w:t xml:space="preserve">180</w:t>
            </w:r>
          </w:p>
        </w:tc>
        <w:tc>
          <w:tcPr/>
          <w:p>
            <w:pPr>
              <w:pStyle w:val="Compact"/>
              <w:jc w:val="left"/>
            </w:pPr>
            <w:r>
              <w:t xml:space="preserve">230.00</w:t>
            </w:r>
          </w:p>
        </w:tc>
        <w:tc>
          <w:tcPr/>
          <w:p>
            <w:pPr>
              <w:pStyle w:val="Compact"/>
              <w:jc w:val="left"/>
            </w:pPr>
            <w:r>
              <w:t xml:space="preserve">41,400.00</w:t>
            </w:r>
          </w:p>
        </w:tc>
      </w:tr>
      <w:tr>
        <w:tc>
          <w:tcPr/>
          <w:p>
            <w:pPr>
              <w:pStyle w:val="Compact"/>
              <w:jc w:val="left"/>
            </w:pPr>
            <w:r>
              <w:t xml:space="preserve">3.5</w:t>
            </w:r>
          </w:p>
        </w:tc>
        <w:tc>
          <w:tcPr/>
          <w:p>
            <w:pPr>
              <w:pStyle w:val="Compact"/>
              <w:jc w:val="left"/>
            </w:pPr>
            <w:r>
              <w:t xml:space="preserve">IT Audit – SAP S/4HANA Environment</w:t>
            </w:r>
          </w:p>
        </w:tc>
        <w:tc>
          <w:tcPr/>
          <w:p>
            <w:pPr>
              <w:pStyle w:val="Compact"/>
              <w:jc w:val="left"/>
            </w:pPr>
            <w:r>
              <w:t xml:space="preserve">160</w:t>
            </w:r>
          </w:p>
        </w:tc>
        <w:tc>
          <w:tcPr/>
          <w:p>
            <w:pPr>
              <w:pStyle w:val="Compact"/>
              <w:jc w:val="left"/>
            </w:pPr>
            <w:r>
              <w:t xml:space="preserve">260.00</w:t>
            </w:r>
          </w:p>
        </w:tc>
        <w:tc>
          <w:tcPr/>
          <w:p>
            <w:pPr>
              <w:pStyle w:val="Compact"/>
              <w:jc w:val="left"/>
            </w:pPr>
            <w:r>
              <w:t xml:space="preserve">41,600.00</w:t>
            </w:r>
          </w:p>
        </w:tc>
      </w:tr>
      <w:tr>
        <w:tc>
          <w:tcPr/>
          <w:p>
            <w:pPr>
              <w:pStyle w:val="Compact"/>
              <w:jc w:val="left"/>
            </w:pPr>
            <w:r>
              <w:t xml:space="preserve">3.6</w:t>
            </w:r>
          </w:p>
        </w:tc>
        <w:tc>
          <w:tcPr/>
          <w:p>
            <w:pPr>
              <w:pStyle w:val="Compact"/>
              <w:jc w:val="left"/>
            </w:pPr>
            <w:r>
              <w:t xml:space="preserve">Interim Review (H1 2025)</w:t>
            </w:r>
          </w:p>
        </w:tc>
        <w:tc>
          <w:tcPr/>
          <w:p>
            <w:pPr>
              <w:pStyle w:val="Compact"/>
              <w:jc w:val="left"/>
            </w:pPr>
            <w:r>
              <w:t xml:space="preserve">90</w:t>
            </w:r>
          </w:p>
        </w:tc>
        <w:tc>
          <w:tcPr/>
          <w:p>
            <w:pPr>
              <w:pStyle w:val="Compact"/>
              <w:jc w:val="left"/>
            </w:pPr>
            <w:r>
              <w:t xml:space="preserve">275.00</w:t>
            </w:r>
          </w:p>
        </w:tc>
        <w:tc>
          <w:tcPr/>
          <w:p>
            <w:pPr>
              <w:pStyle w:val="Compact"/>
              <w:jc w:val="left"/>
            </w:pPr>
            <w:r>
              <w:t xml:space="preserve">24,750.00</w:t>
            </w:r>
          </w:p>
        </w:tc>
      </w:tr>
      <w:tr>
        <w:tc>
          <w:tcPr/>
          <w:p>
            <w:pPr>
              <w:pStyle w:val="Compact"/>
              <w:jc w:val="left"/>
            </w:pPr>
            <w:r>
              <w:t xml:space="preserve">3.7</w:t>
            </w:r>
          </w:p>
        </w:tc>
        <w:tc>
          <w:tcPr/>
          <w:p>
            <w:pPr>
              <w:pStyle w:val="Compact"/>
              <w:jc w:val="left"/>
            </w:pPr>
            <w:r>
              <w:t xml:space="preserve">Travel &amp; Accommodation (Munich, Augsburg, Nuremberg)</w:t>
            </w:r>
          </w:p>
        </w:tc>
        <w:tc>
          <w:tcPr/>
          <w:p>
            <w:pPr>
              <w:pStyle w:val="Compact"/>
              <w:jc w:val="left"/>
            </w:pPr>
            <w:r>
              <w:t xml:space="preserve">—</w:t>
            </w:r>
          </w:p>
        </w:tc>
        <w:tc>
          <w:tcPr/>
          <w:p>
            <w:pPr>
              <w:pStyle w:val="Compact"/>
              <w:jc w:val="left"/>
            </w:pPr>
            <w:r>
              <w:t xml:space="preserve">—</w:t>
            </w:r>
          </w:p>
        </w:tc>
        <w:tc>
          <w:tcPr/>
          <w:p>
            <w:pPr>
              <w:pStyle w:val="Compact"/>
              <w:jc w:val="left"/>
            </w:pPr>
            <w:r>
              <w:t xml:space="preserve">12,500.00</w:t>
            </w:r>
          </w:p>
        </w:tc>
      </w:tr>
      <w:tr>
        <w:tc>
          <w:tcPr/>
          <w:p>
            <w:pPr>
              <w:pStyle w:val="Compact"/>
              <w:jc w:val="left"/>
            </w:pPr>
            <w:r>
              <w:t xml:space="preserve">3.8</w:t>
            </w:r>
          </w:p>
        </w:tc>
        <w:tc>
          <w:tcPr/>
          <w:p>
            <w:pPr>
              <w:pStyle w:val="Compact"/>
              <w:jc w:val="left"/>
            </w:pPr>
            <w:r>
              <w:t xml:space="preserve">Specialist Fees (Forensic Accounting, Valuation)</w:t>
            </w:r>
          </w:p>
        </w:tc>
        <w:tc>
          <w:tcPr/>
          <w:p>
            <w:pPr>
              <w:pStyle w:val="Compact"/>
              <w:jc w:val="left"/>
            </w:pPr>
            <w:r>
              <w:t xml:space="preserve">60</w:t>
            </w:r>
          </w:p>
        </w:tc>
        <w:tc>
          <w:tcPr/>
          <w:p>
            <w:pPr>
              <w:pStyle w:val="Compact"/>
              <w:jc w:val="left"/>
            </w:pPr>
            <w:r>
              <w:t xml:space="preserve">310.00</w:t>
            </w:r>
          </w:p>
        </w:tc>
        <w:tc>
          <w:tcPr/>
          <w:p>
            <w:pPr>
              <w:pStyle w:val="Compact"/>
              <w:jc w:val="left"/>
            </w:pPr>
            <w:r>
              <w:t xml:space="preserve">18,600.00</w:t>
            </w:r>
          </w:p>
        </w:tc>
      </w:tr>
      <w:tr>
        <w:tc>
          <w:tcPr>
            <w:gridSpan w:val="4"/>
          </w:tcPr>
          <w:p>
            <w:pPr>
              <w:pStyle w:val="Compact"/>
              <w:jc w:val="left"/>
            </w:pPr>
            <w:r>
              <w:t xml:space="preserve">Subtotal (excl. VAT)</w:t>
            </w:r>
          </w:p>
        </w:tc>
        <w:tc>
          <w:tcPr/>
          <w:p>
            <w:pPr>
              <w:pStyle w:val="Compact"/>
              <w:jc w:val="left"/>
            </w:pPr>
            <w:r>
              <w:t xml:space="preserve">429,550.00</w:t>
            </w:r>
          </w:p>
        </w:tc>
      </w:tr>
      <w:tr>
        <w:tc>
          <w:tcPr>
            <w:gridSpan w:val="4"/>
          </w:tcPr>
          <w:p>
            <w:pPr>
              <w:pStyle w:val="Compact"/>
              <w:jc w:val="left"/>
            </w:pPr>
            <w:r>
              <w:t xml:space="preserve">VAT (19 %)</w:t>
            </w:r>
          </w:p>
        </w:tc>
        <w:tc>
          <w:tcPr/>
          <w:p>
            <w:pPr>
              <w:pStyle w:val="Compact"/>
              <w:jc w:val="left"/>
            </w:pPr>
            <w:r>
              <w:t xml:space="preserve">81,614.50</w:t>
            </w:r>
          </w:p>
        </w:tc>
      </w:tr>
      <w:tr>
        <w:tc>
          <w:tcPr>
            <w:gridSpan w:val="4"/>
          </w:tcPr>
          <w:p>
            <w:pPr>
              <w:pStyle w:val="Compact"/>
              <w:jc w:val="left"/>
            </w:pPr>
            <w:r>
              <w:t xml:space="preserve">Total Amount Due (incl. VAT)</w:t>
            </w:r>
          </w:p>
        </w:tc>
        <w:tc>
          <w:tcPr/>
          <w:p>
            <w:pPr>
              <w:pStyle w:val="Compact"/>
              <w:jc w:val="left"/>
            </w:pPr>
            <w:r>
              <w:t xml:space="preserve">511,164.50</w:t>
            </w:r>
          </w:p>
        </w:tc>
      </w:tr>
    </w:tbl>
    <w:bookmarkEnd w:id="23"/>
    <w:bookmarkStart w:id="24" w:name="payment-terms"/>
    <w:p>
      <w:pPr>
        <w:pStyle w:val="Heading2"/>
      </w:pPr>
      <w:r>
        <w:t xml:space="preserve">4. Payment Terms</w:t>
      </w:r>
    </w:p>
    <w:p>
      <w:pPr>
        <w:pStyle w:val="FirstParagraph"/>
      </w:pPr>
      <w:r>
        <w:t xml:space="preserve">Payment for the Auditor services outlined in this Quotation Estimate shall be made in four equal quarterly instalments of EUR 127,791.13 (inclusive of VAT), due on the last working day of each calendar quarter (30 September, 31 December, 31 March, 30 June). Invoices shall be issued by Meridian Audit &amp; Advisory GmbH from its registered office in Germany Munich. Late payments shall accrue interest at the statutory rate under § 288 BGB (currently 8 percentage points above the base rate). The client shall provide a bank transfer to the following account: IBAN DE89 3704 0044 0532 0130 00, BIC COBADEFFXXX, Commerzbank München.</w:t>
      </w:r>
    </w:p>
    <w:bookmarkEnd w:id="24"/>
    <w:bookmarkStart w:id="25" w:name="terms-and-conditions"/>
    <w:p>
      <w:pPr>
        <w:pStyle w:val="Heading2"/>
      </w:pPr>
      <w:r>
        <w:t xml:space="preserve">5. Terms and Conditions</w:t>
      </w:r>
    </w:p>
    <w:p>
      <w:pPr>
        <w:numPr>
          <w:ilvl w:val="0"/>
          <w:numId w:val="1002"/>
        </w:numPr>
        <w:pStyle w:val="Compact"/>
      </w:pPr>
      <w:r>
        <w:t xml:space="preserve">This Quotation Estimate is valid for a period of ninety (90) days from the date of issue. Beyond this period, the Auditor may revise the fee structure to reflect changes in market rates, staffing costs, or regulatory requirements in Germany Munich.</w:t>
      </w:r>
    </w:p>
    <w:p>
      <w:pPr>
        <w:numPr>
          <w:ilvl w:val="0"/>
          <w:numId w:val="1002"/>
        </w:numPr>
        <w:pStyle w:val="Compact"/>
      </w:pPr>
      <w:r>
        <w:t xml:space="preserve">The Auditor shall maintain professional independence in accordance with the EU Audit Regulation and the Berufsbildungsgesetz für Wirtschaftsprüfer. Any conflict of interest shall be disclosed in writing prior to commencement of the engagement.</w:t>
      </w:r>
    </w:p>
    <w:p>
      <w:pPr>
        <w:numPr>
          <w:ilvl w:val="0"/>
          <w:numId w:val="1002"/>
        </w:numPr>
        <w:pStyle w:val="Compact"/>
      </w:pPr>
      <w:r>
        <w:t xml:space="preserve">The Auditor shall comply with all data protection obligations under the German Federal Data Protection Act (BDSG) and the EU General Data Protection Regulation (GDPR). All audit working papers shall be stored on servers located within Germany Munich or another EU member state.</w:t>
      </w:r>
    </w:p>
    <w:p>
      <w:pPr>
        <w:numPr>
          <w:ilvl w:val="0"/>
          <w:numId w:val="1002"/>
        </w:numPr>
        <w:pStyle w:val="Compact"/>
      </w:pPr>
      <w:r>
        <w:t xml:space="preserve">The engagement shall be governed by the laws of the Federal Republic of Germany. Any disputes arising from this Quotation Estimate or the subsequent Auditor engagement shall be subject to the exclusive jurisdiction of the competent courts in Munich, Germany.</w:t>
      </w:r>
    </w:p>
    <w:p>
      <w:pPr>
        <w:numPr>
          <w:ilvl w:val="0"/>
          <w:numId w:val="1002"/>
        </w:numPr>
        <w:pStyle w:val="Compact"/>
      </w:pPr>
      <w:r>
        <w:t xml:space="preserve">Meridian Audit &amp; Advisory GmbH shall carry professional indemnity insurance with a minimum coverage of EUR 5,000,000 per claim, as required for registered Wirtschaftsprüfer operating in Germany Munich.</w:t>
      </w:r>
    </w:p>
    <w:p>
      <w:pPr>
        <w:numPr>
          <w:ilvl w:val="0"/>
          <w:numId w:val="1002"/>
        </w:numPr>
        <w:pStyle w:val="Compact"/>
      </w:pPr>
      <w:r>
        <w:t xml:space="preserve">The Auditor shall deliver a final audit report, management letter, and compliance certificate within thirty (30) calendar days of the completion of fieldwork.</w:t>
      </w:r>
    </w:p>
    <w:p>
      <w:pPr>
        <w:numPr>
          <w:ilvl w:val="0"/>
          <w:numId w:val="1002"/>
        </w:numPr>
        <w:pStyle w:val="Compact"/>
      </w:pPr>
      <w:r>
        <w:t xml:space="preserve">This Quotation Estimate does not constitute a binding contract until countersigned by both parties. Acceptance of this Quotation Estimate shall be evidenced by written confirmation from the client's authorised signatory.</w:t>
      </w:r>
    </w:p>
    <w:bookmarkEnd w:id="25"/>
    <w:bookmarkStart w:id="26" w:name="acceptance-and-signatures"/>
    <w:p>
      <w:pPr>
        <w:pStyle w:val="Heading2"/>
      </w:pPr>
      <w:r>
        <w:t xml:space="preserve">6. Acceptance and Signatures</w:t>
      </w:r>
    </w:p>
    <w:p>
      <w:pPr>
        <w:pStyle w:val="FirstParagraph"/>
      </w:pPr>
      <w:r>
        <w:t xml:space="preserve">By signing below, both parties acknowledge that they have read, understood, and agree to the terms set forth in this Quotation Estimate for the Auditor engagement in Germany Munich.</w:t>
      </w:r>
    </w:p>
    <w:p>
      <w:pPr>
        <w:pStyle w:val="BodyText"/>
      </w:pPr>
      <w:r>
        <w:rPr>
          <w:bCs/>
          <w:b/>
        </w:rPr>
        <w:t xml:space="preserve">For Meridian Audit &amp; Advisory GmbH</w:t>
      </w:r>
    </w:p>
    <w:p>
      <w:pPr>
        <w:pStyle w:val="BodyText"/>
      </w:pPr>
      <w:r>
        <w:t xml:space="preserve">Name: Dr. Katharina Vogel</w:t>
      </w:r>
    </w:p>
    <w:p>
      <w:pPr>
        <w:pStyle w:val="BodyText"/>
      </w:pPr>
      <w:r>
        <w:t xml:space="preserve">Title: Lead Auditor / Managing Partner</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Bavarian Industrial Holdings AG</w:t>
      </w:r>
    </w:p>
    <w:p>
      <w:pPr>
        <w:pStyle w:val="BodyText"/>
      </w:pPr>
      <w:r>
        <w:t xml:space="preserve">Name: ___________________________</w:t>
      </w:r>
    </w:p>
    <w:p>
      <w:pPr>
        <w:pStyle w:val="BodyText"/>
      </w:pPr>
      <w:r>
        <w:t xml:space="preserve">Title: Chief Financial Officer</w:t>
      </w:r>
    </w:p>
    <w:p>
      <w:pPr>
        <w:pStyle w:val="BodyText"/>
      </w:pPr>
      <w:r>
        <w:t xml:space="preserve">Signature: ___________________________</w:t>
      </w:r>
    </w:p>
    <w:p>
      <w:pPr>
        <w:pStyle w:val="BodyText"/>
      </w:pPr>
      <w:r>
        <w:t xml:space="preserve">Date: ___________________________</w:t>
      </w:r>
    </w:p>
    <w:p>
      <w:pPr>
        <w:pStyle w:val="BodyText"/>
      </w:pPr>
      <w:r>
        <w:t xml:space="preserve">Meridian Audit &amp; Advisory GmbH | Maximilianstraße 42, 80539 Munich, Germany | USt-IdNr.: DE 312 456 789</w:t>
      </w:r>
    </w:p>
    <w:p>
      <w:pPr>
        <w:pStyle w:val="BodyText"/>
      </w:pPr>
      <w:r>
        <w:t xml:space="preserve">This Quotation Estimate QE-2025-MUC-0487 is the property of Meridian Audit &amp; Advisory GmbH and is intended solely for the addressee. Unauthorised reproduction or distribution is prohibited under German copyright law (Urheberrechtsgesetz).</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Auditor Services - Germany Munich</dc:title>
  <dc:creator/>
  <dc:language>en</dc:language>
  <cp:keywords/>
  <dcterms:created xsi:type="dcterms:W3CDTF">2026-10-10T06:14:55Z</dcterms:created>
  <dcterms:modified xsi:type="dcterms:W3CDTF">2026-10-10T06:14:55Z</dcterms:modified>
</cp:coreProperties>
</file>

<file path=docProps/custom.xml><?xml version="1.0" encoding="utf-8"?>
<Properties xmlns="http://schemas.openxmlformats.org/officeDocument/2006/custom-properties" xmlns:vt="http://schemas.openxmlformats.org/officeDocument/2006/docPropsVTypes"/>
</file>