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India</w:t>
      </w:r>
      <w:r>
        <w:t xml:space="preserve"> </w:t>
      </w:r>
      <w:r>
        <w:t xml:space="preserve">Bangalore</w:t>
      </w:r>
    </w:p>
    <w:bookmarkStart w:id="20" w:name="quotation-estimate"/>
    <w:p>
      <w:pPr>
        <w:pStyle w:val="Heading1"/>
      </w:pPr>
      <w:r>
        <w:t xml:space="preserve">Quotation Estimate</w:t>
      </w:r>
    </w:p>
    <w:p>
      <w:pPr>
        <w:pStyle w:val="FirstParagraph"/>
      </w:pPr>
      <w:r>
        <w:rPr>
          <w:bCs/>
          <w:b/>
        </w:rPr>
        <w:t xml:space="preserve">Meridian Audit &amp; Advisory LLP</w:t>
      </w:r>
    </w:p>
    <w:p>
      <w:pPr>
        <w:pStyle w:val="BodyText"/>
      </w:pPr>
      <w:r>
        <w:t xml:space="preserve">Level 12, Prestige Tech Park, Outer Ring Road, Koramangala,</w:t>
      </w:r>
      <w:r>
        <w:t xml:space="preserve"> </w:t>
      </w:r>
      <w:r>
        <w:t xml:space="preserve">India Bangalore</w:t>
      </w:r>
      <w:r>
        <w:t xml:space="preserve"> </w:t>
      </w:r>
      <w:r>
        <w:t xml:space="preserve">– 560095</w:t>
      </w:r>
    </w:p>
    <w:p>
      <w:pPr>
        <w:pStyle w:val="BodyText"/>
      </w:pPr>
      <w:r>
        <w:t xml:space="preserve">Phone: +91-80-4123-5678 | Email: quotations@meridianaudit.in | GSTIN: 29AABCM1234F1Z5</w:t>
      </w:r>
    </w:p>
    <w:p>
      <w:pPr>
        <w:pStyle w:val="BodyText"/>
      </w:pPr>
      <w:r>
        <w:t xml:space="preserve">ICAI Registration No: 012345S | FSSAI / RERA Compliant</w:t>
      </w:r>
    </w:p>
    <w:bookmarkEnd w:id="20"/>
    <w:p>
      <w:pPr>
        <w:pStyle w:val="BodyText"/>
      </w:pPr>
      <w:r>
        <w:rPr>
          <w:bCs/>
          <w:b/>
        </w:rPr>
        <w:t xml:space="preserve">Quotation Estimate No.:</w:t>
      </w:r>
      <w:r>
        <w:t xml:space="preserve"> </w:t>
      </w:r>
      <w:r>
        <w:t xml:space="preserve">MAQ/2025/BLR/0472</w:t>
      </w:r>
      <w:r>
        <w:br/>
      </w:r>
      <w:r>
        <w:rPr>
          <w:bCs/>
          <w:b/>
        </w:rPr>
        <w:t xml:space="preserve">Date of Issue:</w:t>
      </w:r>
      <w:r>
        <w:t xml:space="preserve"> </w:t>
      </w:r>
      <w:r>
        <w:t xml:space="preserve">15 June 2025</w:t>
      </w:r>
      <w:r>
        <w:br/>
      </w:r>
      <w:r>
        <w:rPr>
          <w:bCs/>
          <w:b/>
        </w:rPr>
        <w:t xml:space="preserve">Validity Period:</w:t>
      </w:r>
      <w:r>
        <w:t xml:space="preserve"> </w:t>
      </w:r>
      <w:r>
        <w:t xml:space="preserve">30 days from date of issue</w:t>
      </w:r>
    </w:p>
    <w:p>
      <w:pPr>
        <w:pStyle w:val="BodyText"/>
      </w:pPr>
      <w:r>
        <w:rPr>
          <w:bCs/>
          <w:b/>
        </w:rPr>
        <w:t xml:space="preserve">Prepared For:</w:t>
      </w:r>
      <w:r>
        <w:br/>
      </w:r>
      <w:r>
        <w:rPr>
          <w:bCs/>
          <w:b/>
        </w:rPr>
        <w:t xml:space="preserve">Client Name:</w:t>
      </w:r>
      <w:r>
        <w:t xml:space="preserve"> </w:t>
      </w:r>
      <w:r>
        <w:t xml:space="preserve">[Client Company Name] Pvt. Ltd.</w:t>
      </w:r>
      <w:r>
        <w:br/>
      </w:r>
      <w:r>
        <w:rPr>
          <w:bCs/>
          <w:b/>
        </w:rPr>
        <w:t xml:space="preserve">Address:</w:t>
      </w:r>
      <w:r>
        <w:t xml:space="preserve"> </w:t>
      </w:r>
      <w:r>
        <w:t xml:space="preserve">[Client Address],</w:t>
      </w:r>
      <w:r>
        <w:t xml:space="preserve"> </w:t>
      </w:r>
      <w:r>
        <w:t xml:space="preserve">India Bangalore</w:t>
      </w:r>
      <w:r>
        <w:br/>
      </w:r>
      <w:r>
        <w:rPr>
          <w:bCs/>
          <w:b/>
        </w:rPr>
        <w:t xml:space="preserve">Attention:</w:t>
      </w:r>
      <w:r>
        <w:t xml:space="preserve"> </w:t>
      </w:r>
      <w:r>
        <w:t xml:space="preserve">[Designated Contact Person]</w:t>
      </w:r>
    </w:p>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Meridian Audit &amp; Advisory LLP, a Chartered Accountancy firm registered with the Institute of Chartered Accountants of India (ICAI), to provide a comprehensive and itemized cost breakdown for the engagement of a qualified</w:t>
      </w:r>
      <w:r>
        <w:t xml:space="preserve"> </w:t>
      </w:r>
      <w:r>
        <w:t xml:space="preserve">Auditor</w:t>
      </w:r>
      <w:r>
        <w:t xml:space="preserve"> </w:t>
      </w:r>
      <w:r>
        <w:t xml:space="preserve">for the financial year 2024–2025. The services described herein are specifically tailored to meet the regulatory and statutory requirements applicable to companies operating in</w:t>
      </w:r>
      <w:r>
        <w:t xml:space="preserve"> </w:t>
      </w:r>
      <w:r>
        <w:t xml:space="preserve">India Bangalore</w:t>
      </w:r>
      <w:r>
        <w:t xml:space="preserve">, in accordance with the Companies Act, 2013, the Income Tax Act, 1961, and applicable ICAI Standards on Auditing (SAs).</w:t>
      </w:r>
    </w:p>
    <w:p>
      <w:pPr>
        <w:pStyle w:val="BodyText"/>
      </w:pPr>
      <w:r>
        <w:t xml:space="preserve">The</w:t>
      </w:r>
      <w:r>
        <w:t xml:space="preserve"> </w:t>
      </w:r>
      <w:r>
        <w:t xml:space="preserve">Auditor</w:t>
      </w:r>
      <w:r>
        <w:t xml:space="preserve"> </w:t>
      </w:r>
      <w:r>
        <w:t xml:space="preserve">engagement encompasses a full-scope statutory audit, tax audit (where applicable under Section 44AB of the Income Tax Act), and a limited review of internal financial controls as mandated by Section 143(3)(i) of the Companies Act, 2013. All audit procedures will be conducted at the client's registered office and operational premises located in</w:t>
      </w:r>
      <w:r>
        <w:t xml:space="preserve"> </w:t>
      </w:r>
      <w:r>
        <w:t xml:space="preserve">India Bangalore</w:t>
      </w:r>
      <w:r>
        <w:t xml:space="preserve">, with additional site visits to any satellite offices or warehouses as may be required during the audit cycle.</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Sr. No.</w:t>
            </w:r>
          </w:p>
        </w:tc>
        <w:tc>
          <w:tcPr/>
          <w:p>
            <w:pPr>
              <w:pStyle w:val="Compact"/>
              <w:jc w:val="left"/>
            </w:pPr>
            <w:r>
              <w:t xml:space="preserve">Description of Auditor Service</w:t>
            </w:r>
          </w:p>
        </w:tc>
        <w:tc>
          <w:tcPr/>
          <w:p>
            <w:pPr>
              <w:pStyle w:val="Compact"/>
              <w:jc w:val="left"/>
            </w:pPr>
            <w:r>
              <w:t xml:space="preserve">Duration / Frequency</w:t>
            </w:r>
          </w:p>
        </w:tc>
        <w:tc>
          <w:tcPr/>
          <w:p>
            <w:pPr>
              <w:pStyle w:val="Compact"/>
              <w:jc w:val="left"/>
            </w:pPr>
            <w:r>
              <w:t xml:space="preserve">Estimated Cost (INR)</w:t>
            </w:r>
          </w:p>
        </w:tc>
      </w:tr>
      <w:tr>
        <w:tc>
          <w:tcPr/>
          <w:p>
            <w:pPr>
              <w:pStyle w:val="Compact"/>
              <w:jc w:val="left"/>
            </w:pPr>
            <w:r>
              <w:t xml:space="preserve">1</w:t>
            </w:r>
          </w:p>
        </w:tc>
        <w:tc>
          <w:tcPr/>
          <w:p>
            <w:pPr>
              <w:pStyle w:val="Compact"/>
              <w:jc w:val="left"/>
            </w:pPr>
            <w:r>
              <w:t xml:space="preserve">Statutory Audit of Financial Statements (Balance Sheet, P&amp;L, Cash Flow, Notes to Accounts) as per ICAI Standards</w:t>
            </w:r>
          </w:p>
        </w:tc>
        <w:tc>
          <w:tcPr/>
          <w:p>
            <w:pPr>
              <w:pStyle w:val="Compact"/>
              <w:jc w:val="left"/>
            </w:pPr>
            <w:r>
              <w:t xml:space="preserve">One-time (FY 2024–25)</w:t>
            </w:r>
          </w:p>
        </w:tc>
        <w:tc>
          <w:tcPr/>
          <w:p>
            <w:pPr>
              <w:pStyle w:val="Compact"/>
              <w:jc w:val="left"/>
            </w:pPr>
            <w:r>
              <w:t xml:space="preserve">₹ 1,85,000</w:t>
            </w:r>
          </w:p>
        </w:tc>
      </w:tr>
      <w:tr>
        <w:tc>
          <w:tcPr/>
          <w:p>
            <w:pPr>
              <w:pStyle w:val="Compact"/>
              <w:jc w:val="left"/>
            </w:pPr>
            <w:r>
              <w:t xml:space="preserve">2</w:t>
            </w:r>
          </w:p>
        </w:tc>
        <w:tc>
          <w:tcPr/>
          <w:p>
            <w:pPr>
              <w:pStyle w:val="Compact"/>
              <w:jc w:val="left"/>
            </w:pPr>
            <w:r>
              <w:t xml:space="preserve">Tax Audit under Section 44AB of the Income Tax Act, 1961 (Form 3CD / 3CE)</w:t>
            </w:r>
          </w:p>
        </w:tc>
        <w:tc>
          <w:tcPr/>
          <w:p>
            <w:pPr>
              <w:pStyle w:val="Compact"/>
              <w:jc w:val="left"/>
            </w:pPr>
            <w:r>
              <w:t xml:space="preserve">One-time (FY 2024–25)</w:t>
            </w:r>
          </w:p>
        </w:tc>
        <w:tc>
          <w:tcPr/>
          <w:p>
            <w:pPr>
              <w:pStyle w:val="Compact"/>
              <w:jc w:val="left"/>
            </w:pPr>
            <w:r>
              <w:t xml:space="preserve">₹ 95,000</w:t>
            </w:r>
          </w:p>
        </w:tc>
      </w:tr>
      <w:tr>
        <w:tc>
          <w:tcPr/>
          <w:p>
            <w:pPr>
              <w:pStyle w:val="Compact"/>
              <w:jc w:val="left"/>
            </w:pPr>
            <w:r>
              <w:t xml:space="preserve">3</w:t>
            </w:r>
          </w:p>
        </w:tc>
        <w:tc>
          <w:tcPr/>
          <w:p>
            <w:pPr>
              <w:pStyle w:val="Compact"/>
              <w:jc w:val="left"/>
            </w:pPr>
            <w:r>
              <w:t xml:space="preserve">Review of Internal Financial Controls under Section 143(3)(i)</w:t>
            </w:r>
          </w:p>
        </w:tc>
        <w:tc>
          <w:tcPr/>
          <w:p>
            <w:pPr>
              <w:pStyle w:val="Compact"/>
              <w:jc w:val="left"/>
            </w:pPr>
            <w:r>
              <w:t xml:space="preserve">One-time (FY 2024–25)</w:t>
            </w:r>
          </w:p>
        </w:tc>
        <w:tc>
          <w:tcPr/>
          <w:p>
            <w:pPr>
              <w:pStyle w:val="Compact"/>
              <w:jc w:val="left"/>
            </w:pPr>
            <w:r>
              <w:t xml:space="preserve">₹ 65,000</w:t>
            </w:r>
          </w:p>
        </w:tc>
      </w:tr>
      <w:tr>
        <w:tc>
          <w:tcPr/>
          <w:p>
            <w:pPr>
              <w:pStyle w:val="Compact"/>
              <w:jc w:val="left"/>
            </w:pPr>
            <w:r>
              <w:t xml:space="preserve">4</w:t>
            </w:r>
          </w:p>
        </w:tc>
        <w:tc>
          <w:tcPr/>
          <w:p>
            <w:pPr>
              <w:pStyle w:val="Compact"/>
              <w:jc w:val="left"/>
            </w:pPr>
            <w:r>
              <w:t xml:space="preserve">Secretarial Audit (Form MR-3) – Compliance with Companies Act, 2013</w:t>
            </w:r>
          </w:p>
        </w:tc>
        <w:tc>
          <w:tcPr/>
          <w:p>
            <w:pPr>
              <w:pStyle w:val="Compact"/>
              <w:jc w:val="left"/>
            </w:pPr>
            <w:r>
              <w:t xml:space="preserve">One-time (FY 2024–25)</w:t>
            </w:r>
          </w:p>
        </w:tc>
        <w:tc>
          <w:tcPr/>
          <w:p>
            <w:pPr>
              <w:pStyle w:val="Compact"/>
              <w:jc w:val="left"/>
            </w:pPr>
            <w:r>
              <w:t xml:space="preserve">₹ 45,000</w:t>
            </w:r>
          </w:p>
        </w:tc>
      </w:tr>
      <w:tr>
        <w:tc>
          <w:tcPr/>
          <w:p>
            <w:pPr>
              <w:pStyle w:val="Compact"/>
              <w:jc w:val="left"/>
            </w:pPr>
            <w:r>
              <w:t xml:space="preserve">5</w:t>
            </w:r>
          </w:p>
        </w:tc>
        <w:tc>
          <w:tcPr/>
          <w:p>
            <w:pPr>
              <w:pStyle w:val="Compact"/>
              <w:jc w:val="left"/>
            </w:pPr>
            <w:r>
              <w:t xml:space="preserve">Monthly GST Reconciliation &amp; Filing Support (CGST, SGST, IGST) – Bangalore jurisdiction</w:t>
            </w:r>
          </w:p>
        </w:tc>
        <w:tc>
          <w:tcPr/>
          <w:p>
            <w:pPr>
              <w:pStyle w:val="Compact"/>
              <w:jc w:val="left"/>
            </w:pPr>
            <w:r>
              <w:t xml:space="preserve">12 months</w:t>
            </w:r>
          </w:p>
        </w:tc>
        <w:tc>
          <w:tcPr/>
          <w:p>
            <w:pPr>
              <w:pStyle w:val="Compact"/>
              <w:jc w:val="left"/>
            </w:pPr>
            <w:r>
              <w:t xml:space="preserve">₹ 72,000</w:t>
            </w:r>
          </w:p>
        </w:tc>
      </w:tr>
      <w:tr>
        <w:tc>
          <w:tcPr/>
          <w:p>
            <w:pPr>
              <w:pStyle w:val="Compact"/>
              <w:jc w:val="left"/>
            </w:pPr>
            <w:r>
              <w:t xml:space="preserve">6</w:t>
            </w:r>
          </w:p>
        </w:tc>
        <w:tc>
          <w:tcPr/>
          <w:p>
            <w:pPr>
              <w:pStyle w:val="Compact"/>
              <w:jc w:val="left"/>
            </w:pPr>
            <w:r>
              <w:t xml:space="preserve">Quarterly TDS/TCS Compliance Review and Form 24Q / 26Q Filing</w:t>
            </w:r>
          </w:p>
        </w:tc>
        <w:tc>
          <w:tcPr/>
          <w:p>
            <w:pPr>
              <w:pStyle w:val="Compact"/>
              <w:jc w:val="left"/>
            </w:pPr>
            <w:r>
              <w:t xml:space="preserve">4 quarters</w:t>
            </w:r>
          </w:p>
        </w:tc>
        <w:tc>
          <w:tcPr/>
          <w:p>
            <w:pPr>
              <w:pStyle w:val="Compact"/>
              <w:jc w:val="left"/>
            </w:pPr>
            <w:r>
              <w:t xml:space="preserve">₹ 36,000</w:t>
            </w:r>
          </w:p>
        </w:tc>
      </w:tr>
      <w:tr>
        <w:tc>
          <w:tcPr/>
          <w:p>
            <w:pPr>
              <w:pStyle w:val="Compact"/>
              <w:jc w:val="left"/>
            </w:pPr>
            <w:r>
              <w:t xml:space="preserve">7</w:t>
            </w:r>
          </w:p>
        </w:tc>
        <w:tc>
          <w:tcPr/>
          <w:p>
            <w:pPr>
              <w:pStyle w:val="Compact"/>
              <w:jc w:val="left"/>
            </w:pPr>
            <w:r>
              <w:t xml:space="preserve">Annual Compliance Calendar Management &amp; Board Meeting Minutes Review</w:t>
            </w:r>
          </w:p>
        </w:tc>
        <w:tc>
          <w:tcPr/>
          <w:p>
            <w:pPr>
              <w:pStyle w:val="Compact"/>
              <w:jc w:val="left"/>
            </w:pPr>
            <w:r>
              <w:t xml:space="preserve">Annual</w:t>
            </w:r>
          </w:p>
        </w:tc>
        <w:tc>
          <w:tcPr/>
          <w:p>
            <w:pPr>
              <w:pStyle w:val="Compact"/>
              <w:jc w:val="left"/>
            </w:pPr>
            <w:r>
              <w:t xml:space="preserve">₹ 28,000</w:t>
            </w:r>
          </w:p>
        </w:tc>
      </w:tr>
      <w:tr>
        <w:tc>
          <w:tcPr/>
          <w:p>
            <w:pPr>
              <w:pStyle w:val="Compact"/>
              <w:jc w:val="left"/>
            </w:pPr>
            <w:r>
              <w:t xml:space="preserve">8</w:t>
            </w:r>
          </w:p>
        </w:tc>
        <w:tc>
          <w:tcPr/>
          <w:p>
            <w:pPr>
              <w:pStyle w:val="Compact"/>
              <w:jc w:val="left"/>
            </w:pPr>
            <w:r>
              <w:t xml:space="preserve">Ad-hoc Advisory, Regulatory Correspondence, and MCA Filing Support</w:t>
            </w:r>
          </w:p>
        </w:tc>
        <w:tc>
          <w:tcPr/>
          <w:p>
            <w:pPr>
              <w:pStyle w:val="Compact"/>
              <w:jc w:val="left"/>
            </w:pPr>
            <w:r>
              <w:t xml:space="preserve">As required</w:t>
            </w:r>
          </w:p>
        </w:tc>
        <w:tc>
          <w:tcPr/>
          <w:p>
            <w:pPr>
              <w:pStyle w:val="Compact"/>
              <w:jc w:val="left"/>
            </w:pPr>
            <w:r>
              <w:t xml:space="preserve">₹ 20,000</w:t>
            </w:r>
          </w:p>
        </w:tc>
      </w:tr>
      <w:tr>
        <w:tc>
          <w:tcPr>
            <w:gridSpan w:val="3"/>
          </w:tcPr>
          <w:p>
            <w:pPr>
              <w:pStyle w:val="Compact"/>
              <w:jc w:val="left"/>
            </w:pPr>
            <w:r>
              <w:t xml:space="preserve">Sub-Total (Excluding GST)</w:t>
            </w:r>
          </w:p>
        </w:tc>
        <w:tc>
          <w:tcPr/>
          <w:p>
            <w:pPr>
              <w:pStyle w:val="Compact"/>
              <w:jc w:val="left"/>
            </w:pPr>
            <w:r>
              <w:t xml:space="preserve">₹ 5,46,000</w:t>
            </w:r>
          </w:p>
        </w:tc>
      </w:tr>
      <w:tr>
        <w:tc>
          <w:tcPr>
            <w:gridSpan w:val="3"/>
          </w:tcPr>
          <w:p>
            <w:pPr>
              <w:pStyle w:val="Compact"/>
              <w:jc w:val="left"/>
            </w:pPr>
            <w:r>
              <w:t xml:space="preserve">GST @ 18% (as applicable in India Bangalore)</w:t>
            </w:r>
          </w:p>
        </w:tc>
        <w:tc>
          <w:tcPr/>
          <w:p>
            <w:pPr>
              <w:pStyle w:val="Compact"/>
              <w:jc w:val="left"/>
            </w:pPr>
            <w:r>
              <w:t xml:space="preserve">₹ 98,280</w:t>
            </w:r>
          </w:p>
        </w:tc>
      </w:tr>
      <w:tr>
        <w:tc>
          <w:tcPr>
            <w:gridSpan w:val="3"/>
          </w:tcPr>
          <w:p>
            <w:pPr>
              <w:pStyle w:val="Compact"/>
              <w:jc w:val="left"/>
            </w:pPr>
            <w:r>
              <w:rPr>
                <w:bCs/>
                <w:b/>
              </w:rPr>
              <w:t xml:space="preserve">Grand Total (Inclusive of GST)</w:t>
            </w:r>
          </w:p>
        </w:tc>
        <w:tc>
          <w:tcPr/>
          <w:p>
            <w:pPr>
              <w:pStyle w:val="Compact"/>
              <w:jc w:val="left"/>
            </w:pPr>
            <w:r>
              <w:rPr>
                <w:bCs/>
                <w:b/>
              </w:rPr>
              <w:t xml:space="preserve">₹ 6,44,280</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the rates and scope may be revised based on prevailing market conditions and regulatory changes in</w:t>
      </w:r>
      <w:r>
        <w:t xml:space="preserve"> </w:t>
      </w:r>
      <w:r>
        <w:t xml:space="preserve">India Bangalore</w:t>
      </w:r>
      <w:r>
        <w:t xml:space="preserve">.</w:t>
      </w:r>
    </w:p>
    <w:p>
      <w:pPr>
        <w:numPr>
          <w:ilvl w:val="0"/>
          <w:numId w:val="1001"/>
        </w:numPr>
        <w:pStyle w:val="Compact"/>
      </w:pPr>
      <w:r>
        <w:t xml:space="preserve">The appointed</w:t>
      </w:r>
      <w:r>
        <w:t xml:space="preserve"> </w:t>
      </w:r>
      <w:r>
        <w:t xml:space="preserve">Auditor</w:t>
      </w:r>
      <w:r>
        <w:t xml:space="preserve"> </w:t>
      </w:r>
      <w:r>
        <w:t xml:space="preserve">shall be a Chartered Accountant in good standing with the ICAI and shall not be disqualified under Section 141 of the Companies Act, 2013. The Auditor's independence and objectivity shall be maintained throughout the engagement.</w:t>
      </w:r>
    </w:p>
    <w:p>
      <w:pPr>
        <w:numPr>
          <w:ilvl w:val="0"/>
          <w:numId w:val="1001"/>
        </w:numPr>
        <w:pStyle w:val="Compact"/>
      </w:pPr>
      <w:r>
        <w:t xml:space="preserve">Payment terms: 50% advance upon acceptance of this Quotation Estimate, 30% upon completion of fieldwork, and the remaining 20% upon issuance of the final Audit Report. All payments shall be made via bank transfer to the firm's designated account in Bangalore.</w:t>
      </w:r>
    </w:p>
    <w:p>
      <w:pPr>
        <w:numPr>
          <w:ilvl w:val="0"/>
          <w:numId w:val="1001"/>
        </w:numPr>
        <w:pStyle w:val="Compact"/>
      </w:pPr>
      <w:r>
        <w:t xml:space="preserve">The client shall provide timely access to all books of accounts, ledgers, bank statements, tax returns, board resolutions, and any other documentation required by the Auditor. Delays in document provision beyond five (5) working days may result in additional charges at ₹2,500 per day.</w:t>
      </w:r>
    </w:p>
    <w:p>
      <w:pPr>
        <w:numPr>
          <w:ilvl w:val="0"/>
          <w:numId w:val="1001"/>
        </w:numPr>
        <w:pStyle w:val="Compact"/>
      </w:pPr>
      <w:r>
        <w:t xml:space="preserve">All audit working papers, drafts, and reports shall remain the intellectual property of Meridian Audit &amp; Advisory LLP. The client shall receive a final copy of the Audit Report and all statutory forms upon completion.</w:t>
      </w:r>
    </w:p>
    <w:p>
      <w:pPr>
        <w:numPr>
          <w:ilvl w:val="0"/>
          <w:numId w:val="1001"/>
        </w:numPr>
        <w:pStyle w:val="Compact"/>
      </w:pPr>
      <w:r>
        <w:t xml:space="preserve">This Quotation Estimate does not include costs for litigation support, forensic audit, or any special-purpose audit beyond the scope described above. Such additional services shall be quoted separately.</w:t>
      </w:r>
    </w:p>
    <w:p>
      <w:pPr>
        <w:numPr>
          <w:ilvl w:val="0"/>
          <w:numId w:val="1001"/>
        </w:numPr>
        <w:pStyle w:val="Compact"/>
      </w:pPr>
      <w:r>
        <w:t xml:space="preserve">The firm's liability under this engagement shall be limited to the total fees payable under this Quotation Estimate, in accordance with the ICAI Code of Ethics and applicable Indian law.</w:t>
      </w:r>
    </w:p>
    <w:p>
      <w:pPr>
        <w:numPr>
          <w:ilvl w:val="0"/>
          <w:numId w:val="1001"/>
        </w:numPr>
        <w:pStyle w:val="Compact"/>
      </w:pPr>
      <w:r>
        <w:t xml:space="preserve">Any disputes arising from this engagement shall be subject to the exclusive jurisdiction of the competent courts in</w:t>
      </w:r>
      <w:r>
        <w:t xml:space="preserve"> </w:t>
      </w:r>
      <w:r>
        <w:t xml:space="preserve">India Bangalore</w:t>
      </w:r>
      <w:r>
        <w:t xml:space="preserve">.</w:t>
      </w:r>
    </w:p>
    <w:p>
      <w:pPr>
        <w:pStyle w:val="FirstParagraph"/>
      </w:pPr>
      <w:r>
        <w:rPr>
          <w:bCs/>
          <w:b/>
        </w:rPr>
        <w:t xml:space="preserve">Note:</w:t>
      </w:r>
      <w:r>
        <w:t xml:space="preserve"> </w:t>
      </w:r>
      <w:r>
        <w:t xml:space="preserve">The above Quotation Estimate assumes a standard operating entity with annual turnover not exceeding ₹50 Crore. For entities with higher turnover, multiple subsidiaries, or complex financial instruments, the Auditor's fee structure may be adjusted proportionally. Please contact our Bangalore office for a revised estimate if your requirements differ from the assumptions stated herein.</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scope, terms, and conditions outlined above for the engagement of the</w:t>
      </w:r>
      <w:r>
        <w:t xml:space="preserve"> </w:t>
      </w:r>
      <w:r>
        <w:t xml:space="preserve">Auditor</w:t>
      </w:r>
      <w:r>
        <w:t xml:space="preserve"> </w:t>
      </w:r>
      <w:r>
        <w:t xml:space="preserve">services in</w:t>
      </w:r>
      <w:r>
        <w:t xml:space="preserve"> </w:t>
      </w:r>
      <w:r>
        <w:t xml:space="preserve">India Bangalore</w:t>
      </w:r>
      <w:r>
        <w:t xml:space="preserve">.</w:t>
      </w:r>
    </w:p>
    <w:p>
      <w:pPr>
        <w:pStyle w:val="BodyText"/>
      </w:pPr>
      <w:r>
        <w:rPr>
          <w:bCs/>
          <w:b/>
        </w:rPr>
        <w:t xml:space="preserve">For Meridian Audit &amp; Advisory LLP</w:t>
      </w:r>
      <w:r>
        <w:br/>
      </w:r>
      <w:r>
        <w:t xml:space="preserve">Authorized Signatory / Partner</w:t>
      </w:r>
      <w:r>
        <w:br/>
      </w:r>
      <w:r>
        <w:t xml:space="preserve">Name: CA R. S. Krishnamurthy</w:t>
      </w:r>
      <w:r>
        <w:br/>
      </w:r>
      <w:r>
        <w:t xml:space="preserve">M. No.: 012345S</w:t>
      </w:r>
      <w:r>
        <w:br/>
      </w:r>
      <w:r>
        <w:t xml:space="preserve">Date: _______________</w:t>
      </w:r>
    </w:p>
    <w:p>
      <w:pPr>
        <w:pStyle w:val="BodyText"/>
      </w:pPr>
      <w:r>
        <w:rPr>
          <w:bCs/>
          <w:b/>
        </w:rPr>
        <w:t xml:space="preserve">For [Client Company Name] Pvt. Ltd.</w:t>
      </w:r>
      <w:r>
        <w:br/>
      </w:r>
      <w:r>
        <w:t xml:space="preserve">Authorized Signatory / Director</w:t>
      </w:r>
      <w:r>
        <w:br/>
      </w:r>
      <w:r>
        <w:t xml:space="preserve">Name: _________________________</w:t>
      </w:r>
      <w:r>
        <w:br/>
      </w:r>
      <w:r>
        <w:t xml:space="preserve">Designation: _________________________</w:t>
      </w:r>
      <w:r>
        <w:br/>
      </w:r>
      <w:r>
        <w:t xml:space="preserve">Date: _______________</w:t>
      </w:r>
    </w:p>
    <w:p>
      <w:pPr>
        <w:pStyle w:val="BodyText"/>
      </w:pPr>
      <w:r>
        <w:t xml:space="preserve">This Quotation Estimate document is generated electronically and is valid without a physical stamp or seal. | Meridian Audit &amp; Advisory LLP,</w:t>
      </w:r>
      <w:r>
        <w:t xml:space="preserve"> </w:t>
      </w:r>
      <w:r>
        <w:t xml:space="preserve">India Bangalore</w:t>
      </w:r>
      <w:r>
        <w:t xml:space="preserve"> </w:t>
      </w:r>
      <w:r>
        <w:t xml:space="preserve">| Page 1 of 1</w:t>
      </w:r>
    </w:p>
    <w:p>
      <w:pPr>
        <w:pStyle w:val="BodyText"/>
      </w:pPr>
      <w:r>
        <w:t xml:space="preserve">© 2025 Meridian Audit &amp; Advisory LLP. All rights reserved. | Document Ref: MAQ/2025/BLR/0472</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Auditor Services - India Bangalore</dc:title>
  <dc:creator/>
  <dc:language>en</dc:language>
  <cp:keywords/>
  <dcterms:created xsi:type="dcterms:W3CDTF">2026-10-10T02:17:37Z</dcterms:created>
  <dcterms:modified xsi:type="dcterms:W3CDTF">2026-10-10T02:17:37Z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