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Auditor</w:t>
      </w:r>
      <w:r>
        <w:t xml:space="preserve"> </w:t>
      </w:r>
      <w:r>
        <w:t xml:space="preserve">Services</w:t>
      </w:r>
      <w:r>
        <w:t xml:space="preserve"> </w:t>
      </w:r>
      <w:r>
        <w:t xml:space="preserve">-</w:t>
      </w:r>
      <w:r>
        <w:t xml:space="preserve"> </w:t>
      </w:r>
      <w:r>
        <w:t xml:space="preserve">India</w:t>
      </w:r>
      <w:r>
        <w:t xml:space="preserve"> </w:t>
      </w:r>
      <w:r>
        <w:t xml:space="preserve">New</w:t>
      </w:r>
      <w:r>
        <w:t xml:space="preserve"> </w:t>
      </w:r>
      <w:r>
        <w:t xml:space="preserve">Delhi</w:t>
      </w:r>
    </w:p>
    <w:bookmarkStart w:id="20" w:name="quotation-estimate"/>
    <w:p>
      <w:pPr>
        <w:pStyle w:val="Heading1"/>
      </w:pPr>
      <w:r>
        <w:t xml:space="preserve">Quotation Estimate</w:t>
      </w:r>
    </w:p>
    <w:p>
      <w:pPr>
        <w:pStyle w:val="FirstParagraph"/>
      </w:pPr>
      <w:r>
        <w:rPr>
          <w:bCs/>
          <w:b/>
        </w:rPr>
        <w:t xml:space="preserve">Meridian Audit &amp; Advisory LLP</w:t>
      </w:r>
    </w:p>
    <w:p>
      <w:pPr>
        <w:pStyle w:val="BodyText"/>
      </w:pPr>
      <w:r>
        <w:t xml:space="preserve">12th Floor, Connaught Place, New Delhi – 110001, India</w:t>
      </w:r>
    </w:p>
    <w:p>
      <w:pPr>
        <w:pStyle w:val="BodyText"/>
      </w:pPr>
      <w:r>
        <w:t xml:space="preserve">Phone: +91-11-4567-8900 | Email: estimates@meridianaudit.in</w:t>
      </w:r>
    </w:p>
    <w:p>
      <w:pPr>
        <w:pStyle w:val="BodyText"/>
      </w:pPr>
      <w:r>
        <w:t xml:space="preserve">ICAI Registration No.: 104567W/W100234 | GSTIN: 07AABCM1234F1Z5</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MAA/2025/NLD/00472</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 Until:</w:t>
            </w:r>
          </w:p>
        </w:tc>
        <w:tc>
          <w:tcPr/>
          <w:p>
            <w:pPr>
              <w:pStyle w:val="Compact"/>
              <w:jc w:val="left"/>
            </w:pPr>
            <w:r>
              <w:t xml:space="preserve">15 July 2025 (30 days from date of issue)</w:t>
            </w:r>
          </w:p>
        </w:tc>
      </w:tr>
      <w:tr>
        <w:tc>
          <w:tcPr/>
          <w:p>
            <w:pPr>
              <w:pStyle w:val="Compact"/>
              <w:jc w:val="left"/>
            </w:pPr>
            <w:r>
              <w:t xml:space="preserve">Prepared For:</w:t>
            </w:r>
          </w:p>
        </w:tc>
        <w:tc>
          <w:tcPr/>
          <w:p>
            <w:pPr>
              <w:pStyle w:val="Compact"/>
              <w:jc w:val="left"/>
            </w:pPr>
            <w:r>
              <w:t xml:space="preserve">Mr. Rajesh Kumar, Chief Financial Officer, Bharat Industries Pvt. Ltd., 45 Nehru Place, New Delhi – 110019, India</w:t>
            </w:r>
          </w:p>
        </w:tc>
      </w:tr>
      <w:tr>
        <w:tc>
          <w:tcPr/>
          <w:p>
            <w:pPr>
              <w:pStyle w:val="Compact"/>
              <w:jc w:val="left"/>
            </w:pPr>
            <w:r>
              <w:t xml:space="preserve">Reference / RFP No.:</w:t>
            </w:r>
          </w:p>
        </w:tc>
        <w:tc>
          <w:tcPr/>
          <w:p>
            <w:pPr>
              <w:pStyle w:val="Compact"/>
              <w:jc w:val="left"/>
            </w:pPr>
            <w:r>
              <w:t xml:space="preserve">BIPL/PROC/2025/089</w:t>
            </w:r>
          </w:p>
        </w:tc>
      </w:tr>
      <w:tr>
        <w:tc>
          <w:tcPr/>
          <w:p>
            <w:pPr>
              <w:pStyle w:val="Compact"/>
              <w:jc w:val="left"/>
            </w:pPr>
            <w:r>
              <w:t xml:space="preserve">Service Location:</w:t>
            </w:r>
          </w:p>
        </w:tc>
        <w:tc>
          <w:tcPr/>
          <w:p>
            <w:pPr>
              <w:pStyle w:val="Compact"/>
              <w:jc w:val="left"/>
            </w:pPr>
            <w:r>
              <w:t xml:space="preserve">New Delhi, India (Primary Office) and Regional Sites as applicable</w:t>
            </w:r>
          </w:p>
        </w:tc>
      </w:tr>
    </w:tbl>
    <w:p>
      <w:pPr>
        <w:pStyle w:val="BodyText"/>
      </w:pPr>
      <w:r>
        <w:t xml:space="preserve">1. Introduction and Scope of Auditor Engagement</w:t>
      </w:r>
    </w:p>
    <w:p>
      <w:pPr>
        <w:pStyle w:val="BodyText"/>
      </w:pPr>
      <w:r>
        <w:t xml:space="preserve">Meridian Audit &amp; Advisory LLP is pleased to submit this</w:t>
      </w:r>
      <w:r>
        <w:t xml:space="preserve"> </w:t>
      </w:r>
      <w:r>
        <w:rPr>
          <w:bCs/>
          <w:b/>
        </w:rPr>
        <w:t xml:space="preserve">Quotation Estimate</w:t>
      </w:r>
      <w:r>
        <w:t xml:space="preserve"> </w:t>
      </w:r>
      <w:r>
        <w:t xml:space="preserve">for the engagement of a qualified</w:t>
      </w:r>
      <w:r>
        <w:t xml:space="preserve"> </w:t>
      </w:r>
      <w:r>
        <w:rPr>
          <w:bCs/>
          <w:b/>
        </w:rPr>
        <w:t xml:space="preserve">Auditor</w:t>
      </w:r>
      <w:r>
        <w:t xml:space="preserve"> </w:t>
      </w:r>
      <w:r>
        <w:t xml:space="preserve">to perform statutory, tax, and internal audit services for Bharat Industries Pvt. Ltd. This Quotation Estimate has been prepared in accordance with the requirements of the Companies Act, 2013, the Income Tax Act, 1961, and the applicable standards issued by the Institute of Chartered Accountants of India (ICAI). The Auditor engagement will be conducted primarily at our offices in</w:t>
      </w:r>
      <w:r>
        <w:t xml:space="preserve"> </w:t>
      </w:r>
      <w:r>
        <w:rPr>
          <w:bCs/>
          <w:b/>
        </w:rPr>
        <w:t xml:space="preserve">India New Delhi</w:t>
      </w:r>
      <w:r>
        <w:t xml:space="preserve">, with fieldwork visits to the client's premises in New Delhi and its satellite warehouses in Noida and Gurugram as required.</w:t>
      </w:r>
    </w:p>
    <w:p>
      <w:pPr>
        <w:pStyle w:val="BodyText"/>
      </w:pPr>
      <w:r>
        <w:t xml:space="preserve">The Auditor team assigned to this engagement will consist of a Partner-in-Charge (Chartered Accountant with 22 years of experience), two Senior Associates, and three Audit Executives. All personnel will be based in India New Delhi and will report directly to the client's Finance Department on a weekly basis during the audit period.</w:t>
      </w:r>
    </w:p>
    <w:p>
      <w:pPr>
        <w:pStyle w:val="BodyText"/>
      </w:pPr>
      <w:r>
        <w:t xml:space="preserve">2. Itemized Quotation Estimate –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S.No.</w:t>
            </w:r>
          </w:p>
        </w:tc>
        <w:tc>
          <w:tcPr/>
          <w:p>
            <w:pPr>
              <w:pStyle w:val="Compact"/>
              <w:jc w:val="left"/>
            </w:pPr>
            <w:r>
              <w:t xml:space="preserve">Description of Auditor Service</w:t>
            </w:r>
          </w:p>
        </w:tc>
        <w:tc>
          <w:tcPr/>
          <w:p>
            <w:pPr>
              <w:pStyle w:val="Compact"/>
              <w:jc w:val="left"/>
            </w:pPr>
            <w:r>
              <w:t xml:space="preserve">Duration / Frequency</w:t>
            </w:r>
          </w:p>
        </w:tc>
        <w:tc>
          <w:tcPr/>
          <w:p>
            <w:pPr>
              <w:pStyle w:val="Compact"/>
              <w:jc w:val="left"/>
            </w:pPr>
            <w:r>
              <w:t xml:space="preserve">Professional Fee (INR)</w:t>
            </w:r>
          </w:p>
        </w:tc>
        <w:tc>
          <w:tcPr/>
          <w:p>
            <w:pPr>
              <w:pStyle w:val="Compact"/>
              <w:jc w:val="left"/>
            </w:pPr>
            <w:r>
              <w:t xml:space="preserve">Travel &amp; Out-of-Pocket (INR)</w:t>
            </w:r>
          </w:p>
        </w:tc>
        <w:tc>
          <w:tcPr/>
          <w:p>
            <w:pPr>
              <w:pStyle w:val="Compact"/>
              <w:jc w:val="left"/>
            </w:pPr>
            <w:r>
              <w:t xml:space="preserve">Total (INR)</w:t>
            </w:r>
          </w:p>
        </w:tc>
      </w:tr>
      <w:tr>
        <w:tc>
          <w:tcPr/>
          <w:p>
            <w:pPr>
              <w:pStyle w:val="Compact"/>
              <w:jc w:val="left"/>
            </w:pPr>
            <w:r>
              <w:t xml:space="preserve">1</w:t>
            </w:r>
          </w:p>
        </w:tc>
        <w:tc>
          <w:tcPr/>
          <w:p>
            <w:pPr>
              <w:pStyle w:val="Compact"/>
              <w:jc w:val="left"/>
            </w:pPr>
            <w:r>
              <w:t xml:space="preserve">Statutory Audit of Annual Financial Statements (as per Section 139, Companies Act 2013) – Auditor to examine books of accounts, verify balances, and issue audit report</w:t>
            </w:r>
          </w:p>
        </w:tc>
        <w:tc>
          <w:tcPr/>
          <w:p>
            <w:pPr>
              <w:pStyle w:val="Compact"/>
              <w:jc w:val="left"/>
            </w:pPr>
            <w:r>
              <w:t xml:space="preserve">12 weeks (FY 2024-25)</w:t>
            </w:r>
          </w:p>
        </w:tc>
        <w:tc>
          <w:tcPr/>
          <w:p>
            <w:pPr>
              <w:pStyle w:val="Compact"/>
              <w:jc w:val="left"/>
            </w:pPr>
            <w:r>
              <w:t xml:space="preserve">4,50,000</w:t>
            </w:r>
          </w:p>
        </w:tc>
        <w:tc>
          <w:tcPr/>
          <w:p>
            <w:pPr>
              <w:pStyle w:val="Compact"/>
              <w:jc w:val="left"/>
            </w:pPr>
            <w:r>
              <w:t xml:space="preserve">35,000</w:t>
            </w:r>
          </w:p>
        </w:tc>
        <w:tc>
          <w:tcPr/>
          <w:p>
            <w:pPr>
              <w:pStyle w:val="Compact"/>
              <w:jc w:val="left"/>
            </w:pPr>
            <w:r>
              <w:t xml:space="preserve">4,85,000</w:t>
            </w:r>
          </w:p>
        </w:tc>
      </w:tr>
      <w:tr>
        <w:tc>
          <w:tcPr/>
          <w:p>
            <w:pPr>
              <w:pStyle w:val="Compact"/>
              <w:jc w:val="left"/>
            </w:pPr>
            <w:r>
              <w:t xml:space="preserve">2</w:t>
            </w:r>
          </w:p>
        </w:tc>
        <w:tc>
          <w:tcPr/>
          <w:p>
            <w:pPr>
              <w:pStyle w:val="Compact"/>
              <w:jc w:val="left"/>
            </w:pPr>
            <w:r>
              <w:t xml:space="preserve">Internal Audit – Process-level review of procurement, inventory, revenue cycle, and IT general controls. Auditor to submit monthly internal audit reports with recommendations</w:t>
            </w:r>
          </w:p>
        </w:tc>
        <w:tc>
          <w:tcPr/>
          <w:p>
            <w:pPr>
              <w:pStyle w:val="Compact"/>
              <w:jc w:val="left"/>
            </w:pPr>
            <w:r>
              <w:t xml:space="preserve">12 months (monthly visits)</w:t>
            </w:r>
          </w:p>
        </w:tc>
        <w:tc>
          <w:tcPr/>
          <w:p>
            <w:pPr>
              <w:pStyle w:val="Compact"/>
              <w:jc w:val="left"/>
            </w:pPr>
            <w:r>
              <w:t xml:space="preserve">6,00,000</w:t>
            </w:r>
          </w:p>
        </w:tc>
        <w:tc>
          <w:tcPr/>
          <w:p>
            <w:pPr>
              <w:pStyle w:val="Compact"/>
              <w:jc w:val="left"/>
            </w:pPr>
            <w:r>
              <w:t xml:space="preserve">48,000</w:t>
            </w:r>
          </w:p>
        </w:tc>
        <w:tc>
          <w:tcPr/>
          <w:p>
            <w:pPr>
              <w:pStyle w:val="Compact"/>
              <w:jc w:val="left"/>
            </w:pPr>
            <w:r>
              <w:t xml:space="preserve">6,48,000</w:t>
            </w:r>
          </w:p>
        </w:tc>
      </w:tr>
      <w:tr>
        <w:tc>
          <w:tcPr/>
          <w:p>
            <w:pPr>
              <w:pStyle w:val="Compact"/>
              <w:jc w:val="left"/>
            </w:pPr>
            <w:r>
              <w:t xml:space="preserve">3</w:t>
            </w:r>
          </w:p>
        </w:tc>
        <w:tc>
          <w:tcPr/>
          <w:p>
            <w:pPr>
              <w:pStyle w:val="Compact"/>
              <w:jc w:val="left"/>
            </w:pPr>
            <w:r>
              <w:t xml:space="preserve">Tax Audit under Section 44AB of the Income Tax Act, 1961 – Auditor to verify income, deductions, and tax credits; issue Form 3CA/3CB</w:t>
            </w:r>
          </w:p>
        </w:tc>
        <w:tc>
          <w:tcPr/>
          <w:p>
            <w:pPr>
              <w:pStyle w:val="Compact"/>
              <w:jc w:val="left"/>
            </w:pPr>
            <w:r>
              <w:t xml:space="preserve">6 weeks</w:t>
            </w:r>
          </w:p>
        </w:tc>
        <w:tc>
          <w:tcPr/>
          <w:p>
            <w:pPr>
              <w:pStyle w:val="Compact"/>
              <w:jc w:val="left"/>
            </w:pPr>
            <w:r>
              <w:t xml:space="preserve">2,25,000</w:t>
            </w:r>
          </w:p>
        </w:tc>
        <w:tc>
          <w:tcPr/>
          <w:p>
            <w:pPr>
              <w:pStyle w:val="Compact"/>
              <w:jc w:val="left"/>
            </w:pPr>
            <w:r>
              <w:t xml:space="preserve">15,000</w:t>
            </w:r>
          </w:p>
        </w:tc>
        <w:tc>
          <w:tcPr/>
          <w:p>
            <w:pPr>
              <w:pStyle w:val="Compact"/>
              <w:jc w:val="left"/>
            </w:pPr>
            <w:r>
              <w:t xml:space="preserve">2,40,000</w:t>
            </w:r>
          </w:p>
        </w:tc>
      </w:tr>
      <w:tr>
        <w:tc>
          <w:tcPr/>
          <w:p>
            <w:pPr>
              <w:pStyle w:val="Compact"/>
              <w:jc w:val="left"/>
            </w:pPr>
            <w:r>
              <w:t xml:space="preserve">4</w:t>
            </w:r>
          </w:p>
        </w:tc>
        <w:tc>
          <w:tcPr/>
          <w:p>
            <w:pPr>
              <w:pStyle w:val="Compact"/>
              <w:jc w:val="left"/>
            </w:pPr>
            <w:r>
              <w:t xml:space="preserve">Cost Audit (Section 148, Companies Act 2013) – Auditor to maintain and verify cost records for manufacturing units in New Delhi and Noida</w:t>
            </w:r>
          </w:p>
        </w:tc>
        <w:tc>
          <w:tcPr/>
          <w:p>
            <w:pPr>
              <w:pStyle w:val="Compact"/>
              <w:jc w:val="left"/>
            </w:pPr>
            <w:r>
              <w:t xml:space="preserve">10 weeks</w:t>
            </w:r>
          </w:p>
        </w:tc>
        <w:tc>
          <w:tcPr/>
          <w:p>
            <w:pPr>
              <w:pStyle w:val="Compact"/>
              <w:jc w:val="left"/>
            </w:pPr>
            <w:r>
              <w:t xml:space="preserve">3,75,000</w:t>
            </w:r>
          </w:p>
        </w:tc>
        <w:tc>
          <w:tcPr/>
          <w:p>
            <w:pPr>
              <w:pStyle w:val="Compact"/>
              <w:jc w:val="left"/>
            </w:pPr>
            <w:r>
              <w:t xml:space="preserve">28,000</w:t>
            </w:r>
          </w:p>
        </w:tc>
        <w:tc>
          <w:tcPr/>
          <w:p>
            <w:pPr>
              <w:pStyle w:val="Compact"/>
              <w:jc w:val="left"/>
            </w:pPr>
            <w:r>
              <w:t xml:space="preserve">4,03,000</w:t>
            </w:r>
          </w:p>
        </w:tc>
      </w:tr>
      <w:tr>
        <w:tc>
          <w:tcPr/>
          <w:p>
            <w:pPr>
              <w:pStyle w:val="Compact"/>
              <w:jc w:val="left"/>
            </w:pPr>
            <w:r>
              <w:t xml:space="preserve">5</w:t>
            </w:r>
          </w:p>
        </w:tc>
        <w:tc>
          <w:tcPr/>
          <w:p>
            <w:pPr>
              <w:pStyle w:val="Compact"/>
              <w:jc w:val="left"/>
            </w:pPr>
            <w:r>
              <w:t xml:space="preserve">Secretarial Audit (Section 204) – Verification of compliance with Companies Act, SEBI regulations, and board resolutions</w:t>
            </w:r>
          </w:p>
        </w:tc>
        <w:tc>
          <w:tcPr/>
          <w:p>
            <w:pPr>
              <w:pStyle w:val="Compact"/>
              <w:jc w:val="left"/>
            </w:pPr>
            <w:r>
              <w:t xml:space="preserve">8 weeks</w:t>
            </w:r>
          </w:p>
        </w:tc>
        <w:tc>
          <w:tcPr/>
          <w:p>
            <w:pPr>
              <w:pStyle w:val="Compact"/>
              <w:jc w:val="left"/>
            </w:pPr>
            <w:r>
              <w:t xml:space="preserve">1,80,000</w:t>
            </w:r>
          </w:p>
        </w:tc>
        <w:tc>
          <w:tcPr/>
          <w:p>
            <w:pPr>
              <w:pStyle w:val="Compact"/>
              <w:jc w:val="left"/>
            </w:pPr>
            <w:r>
              <w:t xml:space="preserve">10,000</w:t>
            </w:r>
          </w:p>
        </w:tc>
        <w:tc>
          <w:tcPr/>
          <w:p>
            <w:pPr>
              <w:pStyle w:val="Compact"/>
              <w:jc w:val="left"/>
            </w:pPr>
            <w:r>
              <w:t xml:space="preserve">1,90,000</w:t>
            </w:r>
          </w:p>
        </w:tc>
      </w:tr>
      <w:tr>
        <w:tc>
          <w:tcPr/>
          <w:p>
            <w:pPr>
              <w:pStyle w:val="Compact"/>
              <w:jc w:val="left"/>
            </w:pPr>
            <w:r>
              <w:t xml:space="preserve">6</w:t>
            </w:r>
          </w:p>
        </w:tc>
        <w:tc>
          <w:tcPr/>
          <w:p>
            <w:pPr>
              <w:pStyle w:val="Compact"/>
              <w:jc w:val="left"/>
            </w:pPr>
            <w:r>
              <w:t xml:space="preserve">Ad-hoc / Special Audit – Up to 40 man-hours for specific investigations, due diligence, or regulatory queries as directed by the Board</w:t>
            </w:r>
          </w:p>
        </w:tc>
        <w:tc>
          <w:tcPr/>
          <w:p>
            <w:pPr>
              <w:pStyle w:val="Compact"/>
              <w:jc w:val="left"/>
            </w:pPr>
            <w:r>
              <w:t xml:space="preserve">As required</w:t>
            </w:r>
          </w:p>
        </w:tc>
        <w:tc>
          <w:tcPr/>
          <w:p>
            <w:pPr>
              <w:pStyle w:val="Compact"/>
              <w:jc w:val="left"/>
            </w:pPr>
            <w:r>
              <w:t xml:space="preserve">1,20,000</w:t>
            </w:r>
          </w:p>
        </w:tc>
        <w:tc>
          <w:tcPr/>
          <w:p>
            <w:pPr>
              <w:pStyle w:val="Compact"/>
              <w:jc w:val="left"/>
            </w:pPr>
            <w:r>
              <w:t xml:space="preserve">12,000</w:t>
            </w:r>
          </w:p>
        </w:tc>
        <w:tc>
          <w:tcPr/>
          <w:p>
            <w:pPr>
              <w:pStyle w:val="Compact"/>
              <w:jc w:val="left"/>
            </w:pPr>
            <w:r>
              <w:t xml:space="preserve">1,32,000</w:t>
            </w:r>
          </w:p>
        </w:tc>
      </w:tr>
      <w:tr>
        <w:tc>
          <w:tcPr/>
          <w:p>
            <w:pPr>
              <w:pStyle w:val="Compact"/>
              <w:jc w:val="left"/>
            </w:pPr>
            <w:r>
              <w:t xml:space="preserve">7</w:t>
            </w:r>
          </w:p>
        </w:tc>
        <w:tc>
          <w:tcPr/>
          <w:p>
            <w:pPr>
              <w:pStyle w:val="Compact"/>
              <w:jc w:val="left"/>
            </w:pPr>
            <w:r>
              <w:t xml:space="preserve">Annual Compliance Review &amp; Board Presentation – Auditor to present findings, risk assessment, and compliance status to the Audit Committee in New Delhi</w:t>
            </w:r>
          </w:p>
        </w:tc>
        <w:tc>
          <w:tcPr/>
          <w:p>
            <w:pPr>
              <w:pStyle w:val="Compact"/>
              <w:jc w:val="left"/>
            </w:pPr>
            <w:r>
              <w:t xml:space="preserve">2 sessions/year</w:t>
            </w:r>
          </w:p>
        </w:tc>
        <w:tc>
          <w:tcPr/>
          <w:p>
            <w:pPr>
              <w:pStyle w:val="Compact"/>
              <w:jc w:val="left"/>
            </w:pPr>
            <w:r>
              <w:t xml:space="preserve">90,000</w:t>
            </w:r>
          </w:p>
        </w:tc>
        <w:tc>
          <w:tcPr/>
          <w:p>
            <w:pPr>
              <w:pStyle w:val="Compact"/>
              <w:jc w:val="left"/>
            </w:pPr>
            <w:r>
              <w:t xml:space="preserve">5,000</w:t>
            </w:r>
          </w:p>
        </w:tc>
        <w:tc>
          <w:tcPr/>
          <w:p>
            <w:pPr>
              <w:pStyle w:val="Compact"/>
              <w:jc w:val="left"/>
            </w:pPr>
            <w:r>
              <w:t xml:space="preserve">95,000</w:t>
            </w:r>
          </w:p>
        </w:tc>
      </w:tr>
      <w:tr>
        <w:tc>
          <w:tcPr>
            <w:gridSpan w:val="4"/>
          </w:tcPr>
          <w:p>
            <w:pPr>
              <w:pStyle w:val="Compact"/>
              <w:jc w:val="left"/>
            </w:pPr>
            <w:r>
              <w:t xml:space="preserve">Sub-Total (Professional Fees + Travel)</w:t>
            </w:r>
          </w:p>
        </w:tc>
        <w:tc>
          <w:tcPr/>
          <w:p>
            <w:pPr>
              <w:pStyle w:val="Compact"/>
              <w:jc w:val="left"/>
            </w:pPr>
            <w:r>
              <w:t xml:space="preserve">1,53,000</w:t>
            </w:r>
          </w:p>
        </w:tc>
        <w:tc>
          <w:tcPr/>
          <w:p>
            <w:pPr>
              <w:pStyle w:val="Compact"/>
              <w:jc w:val="left"/>
            </w:pPr>
            <w:r>
              <w:t xml:space="preserve">21,93,000</w:t>
            </w:r>
          </w:p>
        </w:tc>
      </w:tr>
      <w:tr>
        <w:tc>
          <w:tcPr>
            <w:gridSpan w:val="4"/>
          </w:tcPr>
          <w:p>
            <w:pPr>
              <w:pStyle w:val="Compact"/>
              <w:jc w:val="left"/>
            </w:pPr>
            <w:r>
              <w:t xml:space="preserve">GST @ 18% (as applicable in India)</w:t>
            </w:r>
          </w:p>
        </w:tc>
        <w:tc>
          <w:tcPr/>
          <w:p>
            <w:pPr>
              <w:pStyle w:val="Compact"/>
              <w:jc w:val="left"/>
            </w:pPr>
            <w:r>
              <w:t xml:space="preserve">3,94,740</w:t>
            </w:r>
          </w:p>
        </w:tc>
        <w:tc>
          <w:tcPr/>
          <w:p>
            <w:pPr>
              <w:pStyle w:val="Compact"/>
              <w:jc w:val="left"/>
            </w:pPr>
            <w:r>
              <w:t xml:space="preserve">3,94,740</w:t>
            </w:r>
          </w:p>
        </w:tc>
      </w:tr>
      <w:tr>
        <w:tc>
          <w:tcPr>
            <w:gridSpan w:val="4"/>
          </w:tcPr>
          <w:p>
            <w:pPr>
              <w:pStyle w:val="Compact"/>
              <w:jc w:val="left"/>
            </w:pPr>
            <w:r>
              <w:rPr>
                <w:bCs/>
                <w:b/>
              </w:rPr>
              <w:t xml:space="preserve">GRAND TOTAL (INR)</w:t>
            </w:r>
          </w:p>
        </w:tc>
        <w:tc>
          <w:tcPr/>
          <w:p>
            <w:pPr>
              <w:pStyle w:val="Compact"/>
            </w:pPr>
          </w:p>
        </w:tc>
        <w:tc>
          <w:tcPr/>
          <w:p>
            <w:pPr>
              <w:pStyle w:val="Compact"/>
              <w:jc w:val="left"/>
            </w:pPr>
            <w:r>
              <w:rPr>
                <w:bCs/>
                <w:b/>
              </w:rPr>
              <w:t xml:space="preserve">25,87,740</w:t>
            </w:r>
          </w:p>
        </w:tc>
      </w:tr>
    </w:tbl>
    <w:p>
      <w:pPr>
        <w:pStyle w:val="BodyText"/>
      </w:pPr>
      <w:r>
        <w:rPr>
          <w:bCs/>
          <w:b/>
        </w:rPr>
        <w:t xml:space="preserve">Note:</w:t>
      </w:r>
      <w:r>
        <w:t xml:space="preserve"> </w:t>
      </w:r>
      <w:r>
        <w:t xml:space="preserve">The above Quotation Estimate is exclusive of any statutory audit fees payable to the Auditor if the engagement scope is expanded beyond the items listed. All travel charges are estimated based on distances within the National Capital Region (NCR) of India New Delhi. Any travel beyond a 50 km radius from Connaught Place, New Delhi will be billed at actuals with prior written approval from the client.</w:t>
      </w:r>
    </w:p>
    <w:p>
      <w:pPr>
        <w:pStyle w:val="BodyText"/>
      </w:pPr>
      <w:r>
        <w:t xml:space="preserve">3. Terms and Conditions of this Quotation Estimate</w:t>
      </w:r>
    </w:p>
    <w:p>
      <w:pPr>
        <w:numPr>
          <w:ilvl w:val="0"/>
          <w:numId w:val="1001"/>
        </w:numPr>
        <w:pStyle w:val="Compact"/>
      </w:pPr>
      <w:r>
        <w:t xml:space="preserve">This Quotation Estimate is valid for a period of thirty (30) calendar days from the date of issue. Beyond this period, fees may be revised to reflect changes in professional rates, travel costs, or regulatory requirements applicable in India New Delhi.</w:t>
      </w:r>
    </w:p>
    <w:p>
      <w:pPr>
        <w:numPr>
          <w:ilvl w:val="0"/>
          <w:numId w:val="1001"/>
        </w:numPr>
        <w:pStyle w:val="Compact"/>
      </w:pPr>
      <w:r>
        <w:t xml:space="preserve">Payment Terms: 40% advance upon signing of the engagement letter; 40% upon submission of the draft audit report; 20% upon finalization and issuance of the Auditor's final report. All payments are to be made via bank transfer to the firm's designated account in New Delhi.</w:t>
      </w:r>
    </w:p>
    <w:p>
      <w:pPr>
        <w:numPr>
          <w:ilvl w:val="0"/>
          <w:numId w:val="1001"/>
        </w:numPr>
        <w:pStyle w:val="Compact"/>
      </w:pPr>
      <w:r>
        <w:t xml:space="preserve">The Auditor shall maintain strict confidentiality of all financial data, trade secrets, and proprietary information of Bharat Industries Pvt. Ltd. in compliance with the ICAI Code of Ethics and the Information Technology Act, 2000.</w:t>
      </w:r>
    </w:p>
    <w:p>
      <w:pPr>
        <w:numPr>
          <w:ilvl w:val="0"/>
          <w:numId w:val="1001"/>
        </w:numPr>
        <w:pStyle w:val="Compact"/>
      </w:pPr>
      <w:r>
        <w:t xml:space="preserve">The Auditor shall comply with all applicable laws of India, including the Companies Act, 2013, the Income Tax Act, 1961, the CGST/SGST Act, 2017, and any circulars or notifications issued by the Ministry of Corporate Affairs (MCA) or the Central Board of Direct Taxes (CBDT).</w:t>
      </w:r>
    </w:p>
    <w:p>
      <w:pPr>
        <w:numPr>
          <w:ilvl w:val="0"/>
          <w:numId w:val="1001"/>
        </w:numPr>
        <w:pStyle w:val="Compact"/>
      </w:pPr>
      <w:r>
        <w:t xml:space="preserve">Any additional services requested by the client beyond the scope defined in this Quotation Estimate shall be subject to a separate written amendment and additional fees at the Auditor's standard hourly rate of INR 3,500 per hour.</w:t>
      </w:r>
    </w:p>
    <w:p>
      <w:pPr>
        <w:numPr>
          <w:ilvl w:val="0"/>
          <w:numId w:val="1001"/>
        </w:numPr>
        <w:pStyle w:val="Compact"/>
      </w:pPr>
      <w:r>
        <w:t xml:space="preserve">This Quotation Estimate does not constitute a guarantee of any specific audit opinion. The Auditor shall express an opinion in accordance with the Standards on Auditing (SAs) issued by the ICAI.</w:t>
      </w:r>
    </w:p>
    <w:p>
      <w:pPr>
        <w:numPr>
          <w:ilvl w:val="0"/>
          <w:numId w:val="1001"/>
        </w:numPr>
        <w:pStyle w:val="Compact"/>
      </w:pPr>
      <w:r>
        <w:t xml:space="preserve">Disputes arising from this engagement shall be resolved by arbitration in New Delhi, India, in accordance with the Arbitration and Conciliation Act, 1996. The seat of arbitration shall be New Delhi.</w:t>
      </w:r>
    </w:p>
    <w:p>
      <w:pPr>
        <w:numPr>
          <w:ilvl w:val="0"/>
          <w:numId w:val="1001"/>
        </w:numPr>
        <w:pStyle w:val="Compact"/>
      </w:pPr>
      <w:r>
        <w:t xml:space="preserve">The Auditor reserves the right to withdraw from the engagement with 30 days' written notice in the event of non-payment of professional fees beyond 45 days of the due date.</w:t>
      </w:r>
    </w:p>
    <w:p>
      <w:pPr>
        <w:pStyle w:val="FirstParagraph"/>
      </w:pPr>
      <w:r>
        <w:t xml:space="preserve">4. Acceptance and Authorization</w:t>
      </w:r>
    </w:p>
    <w:p>
      <w:pPr>
        <w:pStyle w:val="BodyText"/>
      </w:pPr>
      <w:r>
        <w:t xml:space="preserve">By signing below, the client acknowledges receipt of this Quotation Estimate and agrees to the scope, fees, and terms outlined herein. The engagement shall commence upon execution of a formal Engagement Letter by both parties.</w:t>
      </w:r>
    </w:p>
    <w:p>
      <w:pPr>
        <w:pStyle w:val="BodyText"/>
      </w:pPr>
      <w:r>
        <w:rPr>
          <w:bCs/>
          <w:b/>
        </w:rPr>
        <w:t xml:space="preserve">For and on behalf of Meridian Audit &amp; Advisory LLP</w:t>
      </w:r>
    </w:p>
    <w:p>
      <w:pPr>
        <w:pStyle w:val="BodyText"/>
      </w:pPr>
      <w:r>
        <w:t xml:space="preserve">(Auditor – India New Delhi)</w:t>
      </w:r>
    </w:p>
    <w:p>
      <w:pPr>
        <w:pStyle w:val="BodyText"/>
      </w:pPr>
      <w:r>
        <w:t xml:space="preserve">CA Anil Sharma, Partner</w:t>
      </w:r>
      <w:r>
        <w:br/>
      </w:r>
      <w:r>
        <w:t xml:space="preserve">ICAI M.No. 104567W</w:t>
      </w:r>
    </w:p>
    <w:p>
      <w:pPr>
        <w:pStyle w:val="BodyText"/>
      </w:pPr>
      <w:r>
        <w:rPr>
          <w:bCs/>
          <w:b/>
        </w:rPr>
        <w:t xml:space="preserve">For and on behalf of Bharat Industries Pvt. Ltd.</w:t>
      </w:r>
    </w:p>
    <w:p>
      <w:pPr>
        <w:pStyle w:val="BodyText"/>
      </w:pPr>
      <w:r>
        <w:t xml:space="preserve">(Client – New Delhi, India)</w:t>
      </w:r>
    </w:p>
    <w:p>
      <w:pPr>
        <w:pStyle w:val="BodyText"/>
      </w:pPr>
      <w:r>
        <w:t xml:space="preserve">Mr. Rajesh Kumar, CFO</w:t>
      </w:r>
      <w:r>
        <w:br/>
      </w:r>
      <w:r>
        <w:t xml:space="preserve">Date: _______________</w:t>
      </w:r>
    </w:p>
    <w:p>
      <w:pPr>
        <w:pStyle w:val="BodyText"/>
      </w:pPr>
      <w:r>
        <w:t xml:space="preserve">This Quotation Estimate document is generated electronically and is valid without a physical stamp. For queries regarding this estimate, please contact estimates@meridianaudit.in or call +91-11-4567-8900 (Mon–Fri, 10:00 AM – 6:00 PM IST).</w:t>
      </w:r>
      <w:r>
        <w:br/>
      </w:r>
      <w:r>
        <w:t xml:space="preserve">Meridian Audit &amp; Advisory LLP | Connaught Place, New Delhi – 110001, India | CIN: U67190DL2012PTC234567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Auditor Services - India New Delhi</dc:title>
  <dc:creator/>
  <dc:language>en</dc:language>
  <cp:keywords/>
  <dcterms:created xsi:type="dcterms:W3CDTF">2026-10-10T08:02:13Z</dcterms:created>
  <dcterms:modified xsi:type="dcterms:W3CDTF">2026-10-10T08:02:13Z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