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rPr>
          <w:bCs/>
          <w:b/>
        </w:rPr>
        <w:t xml:space="preserve">PT Nusantara Audit &amp; Advisory Services</w:t>
      </w:r>
    </w:p>
    <w:p>
      <w:pPr>
        <w:pStyle w:val="BodyText"/>
      </w:pPr>
      <w:r>
        <w:t xml:space="preserve">Jl. Jend. Sudirman Kav. 52-53, SCBD District, Jakarta Selatan, Indonesia Jakarta 12190</w:t>
      </w:r>
    </w:p>
    <w:p>
      <w:pPr>
        <w:pStyle w:val="BodyText"/>
      </w:pPr>
      <w:r>
        <w:t xml:space="preserve">Tel: +62-21-5790-1234 | Email: quotation@nusantaraaudit.co.id</w:t>
      </w:r>
    </w:p>
    <w:p>
      <w:pPr>
        <w:pStyle w:val="BodyText"/>
      </w:pPr>
      <w:r>
        <w:t xml:space="preserve">NPWP: 01.234.567.8-011.000 | SIAPI: 2019/0456</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QE/IAJ/2025/07-0042</w:t>
            </w:r>
          </w:p>
        </w:tc>
      </w:tr>
      <w:tr>
        <w:tc>
          <w:tcPr/>
          <w:p>
            <w:pPr>
              <w:pStyle w:val="Compact"/>
              <w:jc w:val="left"/>
            </w:pPr>
            <w:r>
              <w:t xml:space="preserve">Date of Issue:</w:t>
            </w:r>
          </w:p>
        </w:tc>
        <w:tc>
          <w:tcPr/>
          <w:p>
            <w:pPr>
              <w:pStyle w:val="Compact"/>
              <w:jc w:val="left"/>
            </w:pPr>
            <w:r>
              <w:t xml:space="preserve">15 July 2025</w:t>
            </w:r>
          </w:p>
        </w:tc>
      </w:tr>
      <w:tr>
        <w:tc>
          <w:tcPr/>
          <w:p>
            <w:pPr>
              <w:pStyle w:val="Compact"/>
              <w:jc w:val="left"/>
            </w:pPr>
            <w:r>
              <w:t xml:space="preserve">Valid Until:</w:t>
            </w:r>
          </w:p>
        </w:tc>
        <w:tc>
          <w:tcPr/>
          <w:p>
            <w:pPr>
              <w:pStyle w:val="Compact"/>
              <w:jc w:val="left"/>
            </w:pPr>
            <w:r>
              <w:t xml:space="preserve">14 August 2025 (30 calendar days)</w:t>
            </w:r>
          </w:p>
        </w:tc>
      </w:tr>
      <w:tr>
        <w:tc>
          <w:tcPr/>
          <w:p>
            <w:pPr>
              <w:pStyle w:val="Compact"/>
              <w:jc w:val="left"/>
            </w:pPr>
            <w:r>
              <w:t xml:space="preserve">Prepared For:</w:t>
            </w:r>
          </w:p>
        </w:tc>
        <w:tc>
          <w:tcPr/>
          <w:p>
            <w:pPr>
              <w:pStyle w:val="Compact"/>
              <w:jc w:val="left"/>
            </w:pPr>
            <w:r>
              <w:t xml:space="preserve">PT Maju Sejahtera Industri, Jl. Gatot Subroto No. 88, Jakarta Selatan, Indonesia Jakarta 12950</w:t>
            </w:r>
          </w:p>
        </w:tc>
      </w:tr>
      <w:tr>
        <w:tc>
          <w:tcPr/>
          <w:p>
            <w:pPr>
              <w:pStyle w:val="Compact"/>
              <w:jc w:val="left"/>
            </w:pPr>
            <w:r>
              <w:t xml:space="preserve">Attention:</w:t>
            </w:r>
          </w:p>
        </w:tc>
        <w:tc>
          <w:tcPr/>
          <w:p>
            <w:pPr>
              <w:pStyle w:val="Compact"/>
              <w:jc w:val="left"/>
            </w:pPr>
            <w:r>
              <w:t xml:space="preserve">Mr. Hendra Wijaya, Chief Financial Officer</w:t>
            </w:r>
          </w:p>
        </w:tc>
      </w:tr>
      <w:tr>
        <w:tc>
          <w:tcPr/>
          <w:p>
            <w:pPr>
              <w:pStyle w:val="Compact"/>
              <w:jc w:val="left"/>
            </w:pPr>
            <w:r>
              <w:t xml:space="preserve">Service Location:</w:t>
            </w:r>
          </w:p>
        </w:tc>
        <w:tc>
          <w:tcPr/>
          <w:p>
            <w:pPr>
              <w:pStyle w:val="Compact"/>
              <w:jc w:val="left"/>
            </w:pPr>
            <w:r>
              <w:t xml:space="preserve">Indonesia Jakarta (Primary Office &amp; Field Operations)</w:t>
            </w:r>
          </w:p>
        </w:tc>
      </w:tr>
      <w:tr>
        <w:tc>
          <w:tcPr/>
          <w:p>
            <w:pPr>
              <w:pStyle w:val="Compact"/>
              <w:jc w:val="left"/>
            </w:pPr>
            <w:r>
              <w:t xml:space="preserve">Engagement Period:</w:t>
            </w:r>
          </w:p>
        </w:tc>
        <w:tc>
          <w:tcPr/>
          <w:p>
            <w:pPr>
              <w:pStyle w:val="Compact"/>
              <w:jc w:val="left"/>
            </w:pPr>
            <w:r>
              <w:t xml:space="preserve">1 September 2025 – 30 November 2025</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issued by PT Nusantara Audit &amp; Advisory Services to PT Maju Sejahtera Industri for the engagement of a qualified and independent</w:t>
      </w:r>
      <w:r>
        <w:t xml:space="preserve"> </w:t>
      </w:r>
      <w:r>
        <w:t xml:space="preserve">Auditor</w:t>
      </w:r>
      <w:r>
        <w:t xml:space="preserve"> </w:t>
      </w:r>
      <w:r>
        <w:t xml:space="preserve">to perform a comprehensive statutory financial audit in accordance with Indonesian Financial Reporting Standards (SAK) and the standards set forth by the Indonesian Institute of Certified Public Accountants (IAPI). The entire scope of work, fieldwork, and reporting activities under this</w:t>
      </w:r>
      <w:r>
        <w:t xml:space="preserve"> </w:t>
      </w:r>
      <w:r>
        <w:t xml:space="preserve">Quotation Estimate</w:t>
      </w:r>
      <w:r>
        <w:t xml:space="preserve"> </w:t>
      </w:r>
      <w:r>
        <w:t xml:space="preserve">shall be conducted within the metropolitan area of</w:t>
      </w:r>
      <w:r>
        <w:t xml:space="preserve"> </w:t>
      </w:r>
      <w:r>
        <w:t xml:space="preserve">Indonesia Jakarta</w:t>
      </w:r>
      <w:r>
        <w:t xml:space="preserve">, including the client's principal office, warehouse facilities, and any satellite locations situated within the Greater Jakarta (Jabodetabek) region.</w:t>
      </w:r>
    </w:p>
    <w:p>
      <w:pPr>
        <w:pStyle w:val="BodyText"/>
      </w:pPr>
      <w:r>
        <w:t xml:space="preserve">The</w:t>
      </w:r>
      <w:r>
        <w:t xml:space="preserve"> </w:t>
      </w:r>
      <w:r>
        <w:t xml:space="preserve">Auditor</w:t>
      </w:r>
      <w:r>
        <w:t xml:space="preserve"> </w:t>
      </w:r>
      <w:r>
        <w:t xml:space="preserve">assigned to this engagement shall be a licensed Certified Public Accountant (Akuntan Publik) registered with the Ministry of Finance of the Republic of Indonesia. The</w:t>
      </w:r>
      <w:r>
        <w:t xml:space="preserve"> </w:t>
      </w:r>
      <w:r>
        <w:t xml:space="preserve">Auditor</w:t>
      </w:r>
      <w:r>
        <w:t xml:space="preserve"> </w:t>
      </w:r>
      <w:r>
        <w:t xml:space="preserve">will lead a team of no fewer than six (6) professional staff members, including senior auditors, audit managers, and junior auditors, all of whom will be physically present in</w:t>
      </w:r>
      <w:r>
        <w:t xml:space="preserve"> </w:t>
      </w:r>
      <w:r>
        <w:t xml:space="preserve">Indonesia Jakarta</w:t>
      </w:r>
      <w:r>
        <w:t xml:space="preserve"> </w:t>
      </w:r>
      <w:r>
        <w:t xml:space="preserve">for the duration of the fieldwork phase. This</w:t>
      </w:r>
      <w:r>
        <w:t xml:space="preserve"> </w:t>
      </w:r>
      <w:r>
        <w:t xml:space="preserve">Quotation Estimate</w:t>
      </w:r>
      <w:r>
        <w:t xml:space="preserve"> </w:t>
      </w:r>
      <w:r>
        <w:t xml:space="preserve">encompasses all labor, travel within</w:t>
      </w:r>
      <w:r>
        <w:t xml:space="preserve"> </w:t>
      </w:r>
      <w:r>
        <w:t xml:space="preserve">Indonesia Jakarta</w:t>
      </w:r>
      <w:r>
        <w:t xml:space="preserve">, professional indemnity insurance, and reporting deliverables as detailed in the line items below.</w:t>
      </w:r>
    </w:p>
    <w:p>
      <w:pPr>
        <w:pStyle w:val="BodyText"/>
      </w:pPr>
      <w:r>
        <w:t xml:space="preserve">2. Detailed 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Auditor Service</w:t>
            </w:r>
          </w:p>
        </w:tc>
        <w:tc>
          <w:tcPr/>
          <w:p>
            <w:pPr>
              <w:pStyle w:val="Compact"/>
              <w:jc w:val="left"/>
            </w:pPr>
            <w:r>
              <w:t xml:space="preserve">Duration / Qty</w:t>
            </w:r>
          </w:p>
        </w:tc>
        <w:tc>
          <w:tcPr/>
          <w:p>
            <w:pPr>
              <w:pStyle w:val="Compact"/>
              <w:jc w:val="left"/>
            </w:pPr>
            <w:r>
              <w:t xml:space="preserve">Unit Rate (IDR)</w:t>
            </w:r>
          </w:p>
        </w:tc>
        <w:tc>
          <w:tcPr/>
          <w:p>
            <w:pPr>
              <w:pStyle w:val="Compact"/>
              <w:jc w:val="left"/>
            </w:pPr>
            <w:r>
              <w:t xml:space="preserve">Amount (IDR)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Pre-audit planning meeting and risk assessment conducted by the lead Auditor at the client's office in Indonesia Jakarta</w:t>
            </w:r>
          </w:p>
        </w:tc>
        <w:tc>
          <w:tcPr/>
          <w:p>
            <w:pPr>
              <w:pStyle w:val="Compact"/>
              <w:jc w:val="left"/>
            </w:pPr>
            <w:r>
              <w:t xml:space="preserve">3 person-days</w:t>
            </w:r>
          </w:p>
        </w:tc>
        <w:tc>
          <w:tcPr/>
          <w:p>
            <w:pPr>
              <w:pStyle w:val="Compact"/>
              <w:jc w:val="left"/>
            </w:pPr>
            <w:r>
              <w:t xml:space="preserve">8,500,000</w:t>
            </w:r>
          </w:p>
        </w:tc>
        <w:tc>
          <w:tcPr/>
          <w:p>
            <w:pPr>
              <w:pStyle w:val="Compact"/>
              <w:jc w:val="left"/>
            </w:pPr>
            <w:r>
              <w:t xml:space="preserve">25,500,000</w:t>
            </w:r>
          </w:p>
        </w:tc>
        <w:tc>
          <w:tcPr/>
          <w:p>
            <w:pPr>
              <w:pStyle w:val="Compact"/>
              <w:jc w:val="left"/>
            </w:pPr>
            <w:r>
              <w:t xml:space="preserve">Includes travel within Jakarta</w:t>
            </w:r>
          </w:p>
        </w:tc>
      </w:tr>
      <w:tr>
        <w:tc>
          <w:tcPr/>
          <w:p>
            <w:pPr>
              <w:pStyle w:val="Compact"/>
              <w:jc w:val="left"/>
            </w:pPr>
            <w:r>
              <w:t xml:space="preserve">2</w:t>
            </w:r>
          </w:p>
        </w:tc>
        <w:tc>
          <w:tcPr/>
          <w:p>
            <w:pPr>
              <w:pStyle w:val="Compact"/>
              <w:jc w:val="left"/>
            </w:pPr>
            <w:r>
              <w:t xml:space="preserve">Fieldwork: substantive testing of financial statements, internal control evaluation, and vouching procedures performed by the Auditor team in Indonesia Jakarta</w:t>
            </w:r>
          </w:p>
        </w:tc>
        <w:tc>
          <w:tcPr/>
          <w:p>
            <w:pPr>
              <w:pStyle w:val="Compact"/>
              <w:jc w:val="left"/>
            </w:pPr>
            <w:r>
              <w:t xml:space="preserve">45 person-days</w:t>
            </w:r>
          </w:p>
        </w:tc>
        <w:tc>
          <w:tcPr/>
          <w:p>
            <w:pPr>
              <w:pStyle w:val="Compact"/>
              <w:jc w:val="left"/>
            </w:pPr>
            <w:r>
              <w:t xml:space="preserve">7,200,000</w:t>
            </w:r>
          </w:p>
        </w:tc>
        <w:tc>
          <w:tcPr/>
          <w:p>
            <w:pPr>
              <w:pStyle w:val="Compact"/>
              <w:jc w:val="left"/>
            </w:pPr>
            <w:r>
              <w:t xml:space="preserve">324,000,000</w:t>
            </w:r>
          </w:p>
        </w:tc>
        <w:tc>
          <w:tcPr/>
          <w:p>
            <w:pPr>
              <w:pStyle w:val="Compact"/>
              <w:jc w:val="left"/>
            </w:pPr>
            <w:r>
              <w:t xml:space="preserve">Core audit execution</w:t>
            </w:r>
          </w:p>
        </w:tc>
      </w:tr>
      <w:tr>
        <w:tc>
          <w:tcPr/>
          <w:p>
            <w:pPr>
              <w:pStyle w:val="Compact"/>
              <w:jc w:val="left"/>
            </w:pPr>
            <w:r>
              <w:t xml:space="preserve">3</w:t>
            </w:r>
          </w:p>
        </w:tc>
        <w:tc>
          <w:tcPr/>
          <w:p>
            <w:pPr>
              <w:pStyle w:val="Compact"/>
              <w:jc w:val="left"/>
            </w:pPr>
            <w:r>
              <w:t xml:space="preserve">Review of fixed assets, inventory count observation, and confirmation letters issued from the Auditor's office in Indonesia Jakarta</w:t>
            </w:r>
          </w:p>
        </w:tc>
        <w:tc>
          <w:tcPr/>
          <w:p>
            <w:pPr>
              <w:pStyle w:val="Compact"/>
              <w:jc w:val="left"/>
            </w:pPr>
            <w:r>
              <w:t xml:space="preserve">12 person-days</w:t>
            </w:r>
          </w:p>
        </w:tc>
        <w:tc>
          <w:tcPr/>
          <w:p>
            <w:pPr>
              <w:pStyle w:val="Compact"/>
              <w:jc w:val="left"/>
            </w:pPr>
            <w:r>
              <w:t xml:space="preserve">7,800,000</w:t>
            </w:r>
          </w:p>
        </w:tc>
        <w:tc>
          <w:tcPr/>
          <w:p>
            <w:pPr>
              <w:pStyle w:val="Compact"/>
              <w:jc w:val="left"/>
            </w:pPr>
            <w:r>
              <w:t xml:space="preserve">93,600,000</w:t>
            </w:r>
          </w:p>
        </w:tc>
        <w:tc>
          <w:tcPr/>
          <w:p>
            <w:pPr>
              <w:pStyle w:val="Compact"/>
              <w:jc w:val="left"/>
            </w:pPr>
            <w:r>
              <w:t xml:space="preserve">Includes physical site visits</w:t>
            </w:r>
          </w:p>
        </w:tc>
      </w:tr>
      <w:tr>
        <w:tc>
          <w:tcPr/>
          <w:p>
            <w:pPr>
              <w:pStyle w:val="Compact"/>
              <w:jc w:val="left"/>
            </w:pPr>
            <w:r>
              <w:t xml:space="preserve">4</w:t>
            </w:r>
          </w:p>
        </w:tc>
        <w:tc>
          <w:tcPr/>
          <w:p>
            <w:pPr>
              <w:pStyle w:val="Compact"/>
              <w:jc w:val="left"/>
            </w:pPr>
            <w:r>
              <w:t xml:space="preserve">Draft audit report preparation, management letter, and communication of internal control deficiencies by the Auditor</w:t>
            </w:r>
          </w:p>
        </w:tc>
        <w:tc>
          <w:tcPr/>
          <w:p>
            <w:pPr>
              <w:pStyle w:val="Compact"/>
              <w:jc w:val="left"/>
            </w:pPr>
            <w:r>
              <w:t xml:space="preserve">10 person-days</w:t>
            </w:r>
          </w:p>
        </w:tc>
        <w:tc>
          <w:tcPr/>
          <w:p>
            <w:pPr>
              <w:pStyle w:val="Compact"/>
              <w:jc w:val="left"/>
            </w:pPr>
            <w:r>
              <w:t xml:space="preserve">9,000,000</w:t>
            </w:r>
          </w:p>
        </w:tc>
        <w:tc>
          <w:tcPr/>
          <w:p>
            <w:pPr>
              <w:pStyle w:val="Compact"/>
              <w:jc w:val="left"/>
            </w:pPr>
            <w:r>
              <w:t xml:space="preserve">90,000,000</w:t>
            </w:r>
          </w:p>
        </w:tc>
        <w:tc>
          <w:tcPr/>
          <w:p>
            <w:pPr>
              <w:pStyle w:val="Compact"/>
              <w:jc w:val="left"/>
            </w:pPr>
            <w:r>
              <w:t xml:space="preserve">Two revision cycles included</w:t>
            </w:r>
          </w:p>
        </w:tc>
      </w:tr>
      <w:tr>
        <w:tc>
          <w:tcPr/>
          <w:p>
            <w:pPr>
              <w:pStyle w:val="Compact"/>
              <w:jc w:val="left"/>
            </w:pPr>
            <w:r>
              <w:t xml:space="preserve">5</w:t>
            </w:r>
          </w:p>
        </w:tc>
        <w:tc>
          <w:tcPr/>
          <w:p>
            <w:pPr>
              <w:pStyle w:val="Compact"/>
              <w:jc w:val="left"/>
            </w:pPr>
            <w:r>
              <w:t xml:space="preserve">Final sign-off by the licensed Auditor, issuance of the audit opinion letter, and submission to the client's board in Indonesia Jakarta</w:t>
            </w:r>
          </w:p>
        </w:tc>
        <w:tc>
          <w:tcPr/>
          <w:p>
            <w:pPr>
              <w:pStyle w:val="Compact"/>
              <w:jc w:val="left"/>
            </w:pPr>
            <w:r>
              <w:t xml:space="preserve">5 person-days</w:t>
            </w:r>
          </w:p>
        </w:tc>
        <w:tc>
          <w:tcPr/>
          <w:p>
            <w:pPr>
              <w:pStyle w:val="Compact"/>
              <w:jc w:val="left"/>
            </w:pPr>
            <w:r>
              <w:t xml:space="preserve">12,000,000</w:t>
            </w:r>
          </w:p>
        </w:tc>
        <w:tc>
          <w:tcPr/>
          <w:p>
            <w:pPr>
              <w:pStyle w:val="Compact"/>
              <w:jc w:val="left"/>
            </w:pPr>
            <w:r>
              <w:t xml:space="preserve">60,000,000</w:t>
            </w:r>
          </w:p>
        </w:tc>
        <w:tc>
          <w:tcPr/>
          <w:p>
            <w:pPr>
              <w:pStyle w:val="Compact"/>
              <w:jc w:val="left"/>
            </w:pPr>
            <w:r>
              <w:t xml:space="preserve">Includes notarization</w:t>
            </w:r>
          </w:p>
        </w:tc>
      </w:tr>
      <w:tr>
        <w:tc>
          <w:tcPr/>
          <w:p>
            <w:pPr>
              <w:pStyle w:val="Compact"/>
              <w:jc w:val="left"/>
            </w:pPr>
            <w:r>
              <w:t xml:space="preserve">6</w:t>
            </w:r>
          </w:p>
        </w:tc>
        <w:tc>
          <w:tcPr/>
          <w:p>
            <w:pPr>
              <w:pStyle w:val="Compact"/>
              <w:jc w:val="left"/>
            </w:pPr>
            <w:r>
              <w:t xml:space="preserve">Professional indemnity insurance and IAPI membership fees for the Auditor engagement team</w:t>
            </w:r>
          </w:p>
        </w:tc>
        <w:tc>
          <w:tcPr/>
          <w:p>
            <w:pPr>
              <w:pStyle w:val="Compact"/>
              <w:jc w:val="left"/>
            </w:pPr>
            <w:r>
              <w:t xml:space="preserve">1 lot</w:t>
            </w:r>
          </w:p>
        </w:tc>
        <w:tc>
          <w:tcPr/>
          <w:p>
            <w:pPr>
              <w:pStyle w:val="Compact"/>
              <w:jc w:val="left"/>
            </w:pPr>
            <w:r>
              <w:t xml:space="preserve">15,000,000</w:t>
            </w:r>
          </w:p>
        </w:tc>
        <w:tc>
          <w:tcPr/>
          <w:p>
            <w:pPr>
              <w:pStyle w:val="Compact"/>
              <w:jc w:val="left"/>
            </w:pPr>
            <w:r>
              <w:t xml:space="preserve">15,000,000</w:t>
            </w:r>
          </w:p>
        </w:tc>
        <w:tc>
          <w:tcPr/>
          <w:p>
            <w:pPr>
              <w:pStyle w:val="Compact"/>
              <w:jc w:val="left"/>
            </w:pPr>
            <w:r>
              <w:t xml:space="preserve">Per engagement</w:t>
            </w:r>
          </w:p>
        </w:tc>
      </w:tr>
      <w:tr>
        <w:tc>
          <w:tcPr/>
          <w:p>
            <w:pPr>
              <w:pStyle w:val="Compact"/>
              <w:jc w:val="left"/>
            </w:pPr>
            <w:r>
              <w:t xml:space="preserve">7</w:t>
            </w:r>
          </w:p>
        </w:tc>
        <w:tc>
          <w:tcPr/>
          <w:p>
            <w:pPr>
              <w:pStyle w:val="Compact"/>
              <w:jc w:val="left"/>
            </w:pPr>
            <w:r>
              <w:t xml:space="preserve">Local transportation, parking, and incidental expenses for the Auditor team operating within Indonesia Jakarta</w:t>
            </w:r>
          </w:p>
        </w:tc>
        <w:tc>
          <w:tcPr/>
          <w:p>
            <w:pPr>
              <w:pStyle w:val="Compact"/>
              <w:jc w:val="left"/>
            </w:pPr>
            <w:r>
              <w:t xml:space="preserve">1 lot</w:t>
            </w:r>
          </w:p>
        </w:tc>
        <w:tc>
          <w:tcPr/>
          <w:p>
            <w:pPr>
              <w:pStyle w:val="Compact"/>
              <w:jc w:val="left"/>
            </w:pPr>
            <w:r>
              <w:t xml:space="preserve">8,000,000</w:t>
            </w:r>
          </w:p>
        </w:tc>
        <w:tc>
          <w:tcPr/>
          <w:p>
            <w:pPr>
              <w:pStyle w:val="Compact"/>
              <w:jc w:val="left"/>
            </w:pPr>
            <w:r>
              <w:t xml:space="preserve">8,000,000</w:t>
            </w:r>
          </w:p>
        </w:tc>
        <w:tc>
          <w:tcPr/>
          <w:p>
            <w:pPr>
              <w:pStyle w:val="Compact"/>
              <w:jc w:val="left"/>
            </w:pPr>
            <w:r>
              <w:t xml:space="preserve">Estimated cap</w:t>
            </w:r>
          </w:p>
        </w:tc>
      </w:tr>
      <w:tr>
        <w:tc>
          <w:tcPr>
            <w:gridSpan w:val="4"/>
          </w:tcPr>
          <w:p>
            <w:pPr>
              <w:pStyle w:val="Compact"/>
              <w:jc w:val="left"/>
            </w:pPr>
            <w:r>
              <w:t xml:space="preserve">Subtotal (before VAT)</w:t>
            </w:r>
          </w:p>
        </w:tc>
        <w:tc>
          <w:tcPr/>
          <w:p>
            <w:pPr>
              <w:pStyle w:val="Compact"/>
              <w:jc w:val="left"/>
            </w:pPr>
            <w:r>
              <w:t xml:space="preserve">616,100,000</w:t>
            </w:r>
          </w:p>
        </w:tc>
        <w:tc>
          <w:tcPr/>
          <w:p>
            <w:pPr>
              <w:pStyle w:val="Compact"/>
            </w:pPr>
          </w:p>
        </w:tc>
      </w:tr>
      <w:tr>
        <w:tc>
          <w:tcPr>
            <w:gridSpan w:val="4"/>
          </w:tcPr>
          <w:p>
            <w:pPr>
              <w:pStyle w:val="Compact"/>
              <w:jc w:val="left"/>
            </w:pPr>
            <w:r>
              <w:t xml:space="preserve">VAT (PPN) 11%</w:t>
            </w:r>
          </w:p>
        </w:tc>
        <w:tc>
          <w:tcPr/>
          <w:p>
            <w:pPr>
              <w:pStyle w:val="Compact"/>
              <w:jc w:val="left"/>
            </w:pPr>
            <w:r>
              <w:t xml:space="preserve">67,771,000</w:t>
            </w:r>
          </w:p>
        </w:tc>
        <w:tc>
          <w:tcPr/>
          <w:p>
            <w:pPr>
              <w:pStyle w:val="Compact"/>
            </w:pPr>
          </w:p>
        </w:tc>
      </w:tr>
      <w:tr>
        <w:tc>
          <w:tcPr>
            <w:gridSpan w:val="4"/>
          </w:tcPr>
          <w:p>
            <w:pPr>
              <w:pStyle w:val="Compact"/>
              <w:jc w:val="left"/>
            </w:pPr>
            <w:r>
              <w:t xml:space="preserve">GRAND TOTAL (IDR)</w:t>
            </w:r>
          </w:p>
        </w:tc>
        <w:tc>
          <w:tcPr/>
          <w:p>
            <w:pPr>
              <w:pStyle w:val="Compact"/>
              <w:jc w:val="left"/>
            </w:pPr>
            <w:r>
              <w:t xml:space="preserve">683,871,000</w:t>
            </w:r>
          </w:p>
        </w:tc>
        <w:tc>
          <w:tcPr/>
          <w:p>
            <w:pPr>
              <w:pStyle w:val="Compact"/>
            </w:pPr>
          </w:p>
        </w:tc>
      </w:tr>
    </w:tbl>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requires written reconfirmation from PT Nusantara Audit &amp; Advisory Services.</w:t>
      </w:r>
    </w:p>
    <w:p>
      <w:pPr>
        <w:numPr>
          <w:ilvl w:val="0"/>
          <w:numId w:val="1001"/>
        </w:numPr>
        <w:pStyle w:val="Compact"/>
      </w:pPr>
      <w:r>
        <w:t xml:space="preserve">Payment terms: fifty percent (50%) of the total amount shall be due upon signing of the engagement letter, and the remaining fifty percent (50%) shall be due within fourteen (14) days of the Auditor's final report delivery in Indonesia Jakarta.</w:t>
      </w:r>
    </w:p>
    <w:p>
      <w:pPr>
        <w:numPr>
          <w:ilvl w:val="0"/>
          <w:numId w:val="1001"/>
        </w:numPr>
        <w:pStyle w:val="Compact"/>
      </w:pPr>
      <w:r>
        <w:t xml:space="preserve">The</w:t>
      </w:r>
      <w:r>
        <w:t xml:space="preserve"> </w:t>
      </w:r>
      <w:r>
        <w:t xml:space="preserve">Auditor</w:t>
      </w:r>
      <w:r>
        <w:t xml:space="preserve"> </w:t>
      </w:r>
      <w:r>
        <w:t xml:space="preserve">shall maintain strict independence and confidentiality in accordance with IAPI Code of Ethics. No conflict of interest shall exist between the Auditor and the client for a minimum period of two (2) years following the completion of this engagement.</w:t>
      </w:r>
    </w:p>
    <w:p>
      <w:pPr>
        <w:numPr>
          <w:ilvl w:val="0"/>
          <w:numId w:val="1001"/>
        </w:numPr>
        <w:pStyle w:val="Compact"/>
      </w:pPr>
      <w:r>
        <w:t xml:space="preserve">All fieldwork and reporting activities shall be conducted in Indonesia Jakarta. Should the client require the Auditor to travel outside the Jabodetabek area, additional costs will be quoted separately and are not included in this Quotation Estimate.</w:t>
      </w:r>
    </w:p>
    <w:p>
      <w:pPr>
        <w:numPr>
          <w:ilvl w:val="0"/>
          <w:numId w:val="1001"/>
        </w:numPr>
        <w:pStyle w:val="Compact"/>
      </w:pPr>
      <w:r>
        <w:t xml:space="preserve">The Auditor shall deliver the draft audit report within twenty-one (21) business days after the completion of fieldwork. The final signed report shall be issued within seven (7) business days after the client's written response to the management letter.</w:t>
      </w:r>
    </w:p>
    <w:p>
      <w:pPr>
        <w:numPr>
          <w:ilvl w:val="0"/>
          <w:numId w:val="1001"/>
        </w:numPr>
        <w:pStyle w:val="Compact"/>
      </w:pPr>
      <w:r>
        <w:t xml:space="preserve">This Quotation Estimate does not include services related to tax advisory, forensic investigation, or IT audit. Such services, if required, will be subject to a separate Quotation Estimate.</w:t>
      </w:r>
    </w:p>
    <w:p>
      <w:pPr>
        <w:numPr>
          <w:ilvl w:val="0"/>
          <w:numId w:val="1001"/>
        </w:numPr>
        <w:pStyle w:val="Compact"/>
      </w:pPr>
      <w:r>
        <w:t xml:space="preserve">Any changes to the scope of work requested by the client after the engagement letter is signed will be assessed by the Auditor and may result in an amended Quotation Estimate.</w:t>
      </w:r>
    </w:p>
    <w:p>
      <w:pPr>
        <w:numPr>
          <w:ilvl w:val="0"/>
          <w:numId w:val="1001"/>
        </w:numPr>
        <w:pStyle w:val="Compact"/>
      </w:pPr>
      <w:r>
        <w:t xml:space="preserve">Governing law: This Quotation Estimate and the resulting engagement shall be governed by the laws of the Republic of Indonesia. Disputes shall be resolved through the Commercial Court in Indonesia Jakarta.</w:t>
      </w:r>
    </w:p>
    <w:p>
      <w:pPr>
        <w:pStyle w:val="FirstParagraph"/>
      </w:pPr>
      <w:r>
        <w:t xml:space="preserve">4. Acceptance and Authorization</w:t>
      </w:r>
    </w:p>
    <w:p>
      <w:pPr>
        <w:pStyle w:val="BodyText"/>
      </w:pPr>
      <w:r>
        <w:t xml:space="preserve">By signing below, both parties acknowledge and agree to the terms, scope, and pricing outlined in this</w:t>
      </w:r>
      <w:r>
        <w:t xml:space="preserve"> </w:t>
      </w:r>
      <w:r>
        <w:t xml:space="preserve">Quotation Estimate</w:t>
      </w:r>
      <w:r>
        <w:t xml:space="preserve"> </w:t>
      </w:r>
      <w:r>
        <w:t xml:space="preserve">for the engagement of the</w:t>
      </w:r>
      <w:r>
        <w:t xml:space="preserve"> </w:t>
      </w:r>
      <w:r>
        <w:t xml:space="preserve">Auditor</w:t>
      </w:r>
      <w:r>
        <w:t xml:space="preserve"> </w:t>
      </w:r>
      <w:r>
        <w:t xml:space="preserve">to perform statutory audit services in</w:t>
      </w:r>
      <w:r>
        <w:t xml:space="preserve"> </w:t>
      </w:r>
      <w:r>
        <w:t xml:space="preserve">Indonesia Jakarta</w:t>
      </w:r>
      <w:r>
        <w:t xml:space="preserve">. This document, once countersigned, shall serve as the basis for the formal engagement letter.</w:t>
      </w:r>
    </w:p>
    <w:p>
      <w:pPr>
        <w:pStyle w:val="BodyText"/>
      </w:pPr>
      <w:r>
        <w:rPr>
          <w:bCs/>
          <w:b/>
        </w:rPr>
        <w:t xml:space="preserve">For and on behalf of</w:t>
      </w:r>
      <w:r>
        <w:br/>
      </w:r>
      <w:r>
        <w:t xml:space="preserve">PT Nusantara Audit &amp; Advisory Services</w:t>
      </w:r>
    </w:p>
    <w:p>
      <w:pPr>
        <w:pStyle w:val="BodyText"/>
      </w:pPr>
      <w:r>
        <w:rPr>
          <w:bCs/>
          <w:b/>
        </w:rPr>
        <w:t xml:space="preserve">(Dr. Ratna Kusuma, CPA)</w:t>
      </w:r>
      <w:r>
        <w:br/>
      </w:r>
      <w:r>
        <w:t xml:space="preserve">Lead Auditor / Engagement Partner</w:t>
      </w:r>
      <w:r>
        <w:br/>
      </w:r>
      <w:r>
        <w:t xml:space="preserve">License No. AP-2018/0034</w:t>
      </w:r>
    </w:p>
    <w:p>
      <w:pPr>
        <w:pStyle w:val="BodyText"/>
      </w:pPr>
      <w:r>
        <w:rPr>
          <w:bCs/>
          <w:b/>
        </w:rPr>
        <w:t xml:space="preserve">For and on behalf of</w:t>
      </w:r>
      <w:r>
        <w:br/>
      </w:r>
      <w:r>
        <w:t xml:space="preserve">PT Maju Sejahtera Industri</w:t>
      </w:r>
    </w:p>
    <w:p>
      <w:pPr>
        <w:pStyle w:val="BodyText"/>
      </w:pPr>
      <w:r>
        <w:rPr>
          <w:bCs/>
          <w:b/>
        </w:rPr>
        <w:t xml:space="preserve">(Hendra Wijaya, MBA)</w:t>
      </w:r>
      <w:r>
        <w:br/>
      </w:r>
      <w:r>
        <w:t xml:space="preserve">Chief Financial Officer</w:t>
      </w:r>
      <w:r>
        <w:br/>
      </w:r>
      <w:r>
        <w:t xml:space="preserve">Authorized Signatory</w:t>
      </w:r>
    </w:p>
    <w:p>
      <w:pPr>
        <w:pStyle w:val="BodyText"/>
      </w:pPr>
      <w:r>
        <w:t xml:space="preserve">This Quotation Estimate document was prepared by PT Nusantara Audit &amp; Advisory Services, Indonesia Jakarta. Document Ref: QE/IAJ/2025/07-0042. Page 1 of 1.</w:t>
      </w:r>
    </w:p>
    <w:p>
      <w:pPr>
        <w:pStyle w:val="BodyText"/>
      </w:pPr>
      <w:r>
        <w:t xml:space="preserve">© 2025 PT Nusantara Audit &amp; Advisory Services.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Indonesia Jakarta</dc:title>
  <dc:creator/>
  <dc:language>en</dc:language>
  <cp:keywords/>
  <dcterms:created xsi:type="dcterms:W3CDTF">2026-10-10T02:54:29Z</dcterms:created>
  <dcterms:modified xsi:type="dcterms:W3CDTF">2026-10-10T02:54:29Z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