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quotation-estimate"/>
    <w:p>
      <w:pPr>
        <w:pStyle w:val="Heading1"/>
      </w:pPr>
      <w:r>
        <w:t xml:space="preserve">QUOTATION ESTIMATE</w:t>
      </w:r>
    </w:p>
    <w:p>
      <w:pPr>
        <w:pStyle w:val="FirstParagraph"/>
      </w:pPr>
      <w:r>
        <w:t xml:space="preserve">Professional Auditor Services — Tehran, Iran</w:t>
      </w:r>
    </w:p>
    <w:p>
      <w:pPr>
        <w:pStyle w:val="BodyText"/>
      </w:pPr>
      <w:r>
        <w:t xml:space="preserve">Ref: QTE-IRN-TEH-2025-0472 | Issued by: Meridian Audit &amp; Advisory Group</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QTE-IRN-TEH-2025-0472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Iranian Rial (IRR) / US Dollar (USD)</w:t>
            </w:r>
          </w:p>
        </w:tc>
      </w:tr>
      <w:tr>
        <w:tc>
          <w:tcPr/>
          <w:p>
            <w:pPr>
              <w:pStyle w:val="Compact"/>
              <w:jc w:val="left"/>
            </w:pPr>
            <w:r>
              <w:t xml:space="preserve">Service Location</w:t>
            </w:r>
          </w:p>
        </w:tc>
        <w:tc>
          <w:tcPr/>
          <w:p>
            <w:pPr>
              <w:pStyle w:val="Compact"/>
              <w:jc w:val="left"/>
            </w:pPr>
            <w:r>
              <w:t xml:space="preserve">Tehran, Islamic Republic of Iran</w:t>
            </w:r>
          </w:p>
        </w:tc>
        <w:tc>
          <w:tcPr/>
          <w:p>
            <w:pPr>
              <w:pStyle w:val="Compact"/>
              <w:jc w:val="left"/>
            </w:pPr>
            <w:r>
              <w:t xml:space="preserve">Engagement Type</w:t>
            </w:r>
          </w:p>
        </w:tc>
        <w:tc>
          <w:tcPr/>
          <w:p>
            <w:pPr>
              <w:pStyle w:val="Compact"/>
              <w:jc w:val="left"/>
            </w:pPr>
            <w:r>
              <w:t xml:space="preserve">Annual Financial Audit &amp; Compliance Review</w:t>
            </w:r>
          </w:p>
        </w:tc>
      </w:tr>
      <w:tr>
        <w:tc>
          <w:tcPr/>
          <w:p>
            <w:pPr>
              <w:pStyle w:val="Compact"/>
              <w:jc w:val="left"/>
            </w:pPr>
            <w:r>
              <w:t xml:space="preserve">Prepared For</w:t>
            </w:r>
          </w:p>
        </w:tc>
        <w:tc>
          <w:tcPr/>
          <w:p>
            <w:pPr>
              <w:pStyle w:val="Compact"/>
              <w:jc w:val="left"/>
            </w:pPr>
            <w:r>
              <w:t xml:space="preserve">Client Name: [To be inserted]</w:t>
            </w:r>
          </w:p>
        </w:tc>
        <w:tc>
          <w:tcPr/>
          <w:p>
            <w:pPr>
              <w:pStyle w:val="Compact"/>
              <w:jc w:val="left"/>
            </w:pPr>
            <w:r>
              <w:t xml:space="preserve">Client Address</w:t>
            </w:r>
          </w:p>
        </w:tc>
        <w:tc>
          <w:tcPr/>
          <w:p>
            <w:pPr>
              <w:pStyle w:val="Compact"/>
              <w:jc w:val="left"/>
            </w:pPr>
            <w:r>
              <w:t xml:space="preserve">Valiasr Street, Tehran, Iran</w:t>
            </w:r>
          </w:p>
        </w:tc>
      </w:tr>
      <w:tr>
        <w:tc>
          <w:tcPr/>
          <w:p>
            <w:pPr>
              <w:pStyle w:val="Compact"/>
              <w:jc w:val="left"/>
            </w:pPr>
            <w:r>
              <w:t xml:space="preserve">Prepared By</w:t>
            </w:r>
          </w:p>
        </w:tc>
        <w:tc>
          <w:tcPr/>
          <w:p>
            <w:pPr>
              <w:pStyle w:val="Compact"/>
              <w:jc w:val="left"/>
            </w:pPr>
            <w:r>
              <w:t xml:space="preserve">Meridian Audit &amp; Advisory Group, Tehran Office</w:t>
            </w:r>
          </w:p>
        </w:tc>
        <w:tc>
          <w:tcPr/>
          <w:p>
            <w:pPr>
              <w:pStyle w:val="Compact"/>
              <w:jc w:val="left"/>
            </w:pPr>
            <w:r>
              <w:t xml:space="preserve">Contact</w:t>
            </w:r>
          </w:p>
        </w:tc>
        <w:tc>
          <w:tcPr/>
          <w:p>
            <w:pPr>
              <w:pStyle w:val="Compact"/>
              <w:jc w:val="left"/>
            </w:pPr>
            <w:r>
              <w:t xml:space="preserve">auditor.tehran@meridian-ir.com | +98-21-8876-5432</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Meridian Audit &amp; Advisory Group to provide a comprehensive and transparent cost breakdown for the engagement of a licensed</w:t>
      </w:r>
      <w:r>
        <w:t xml:space="preserve"> </w:t>
      </w:r>
      <w:r>
        <w:t xml:space="preserve">Auditor</w:t>
      </w:r>
      <w:r>
        <w:t xml:space="preserve"> </w:t>
      </w:r>
      <w:r>
        <w:t xml:space="preserve">to perform a full-scope financial audit, internal control assessment, and regulatory compliance review for the client's operations located in</w:t>
      </w:r>
      <w:r>
        <w:t xml:space="preserve"> </w:t>
      </w:r>
      <w:r>
        <w:t xml:space="preserve">Iran Tehran</w:t>
      </w:r>
      <w:r>
        <w:t xml:space="preserve">. This document serves as the primary financial proposal and shall remain binding upon both parties for the duration of the stated validity period. All pricing reflects current market rates applicable to professional</w:t>
      </w:r>
      <w:r>
        <w:t xml:space="preserve"> </w:t>
      </w:r>
      <w:r>
        <w:t xml:space="preserve">Auditor</w:t>
      </w:r>
      <w:r>
        <w:t xml:space="preserve"> </w:t>
      </w:r>
      <w:r>
        <w:t xml:space="preserve">services within the Tehran metropolitan area and complies with the fee schedules established by the Iranian Auditing Organization (IAO) and the Securities and Exchange Organization of Iran (SEO).</w:t>
      </w:r>
    </w:p>
    <w:bookmarkEnd w:id="21"/>
    <w:bookmarkStart w:id="22" w:name="scope-of-auditor-services"/>
    <w:p>
      <w:pPr>
        <w:pStyle w:val="Heading2"/>
      </w:pPr>
      <w:r>
        <w:t xml:space="preserve">2. Scope of Auditor Services</w:t>
      </w:r>
    </w:p>
    <w:p>
      <w:pPr>
        <w:pStyle w:val="FirstParagraph"/>
      </w:pPr>
      <w:r>
        <w:t xml:space="preserve">The</w:t>
      </w:r>
      <w:r>
        <w:t xml:space="preserve"> </w:t>
      </w:r>
      <w:r>
        <w:t xml:space="preserve">Auditor</w:t>
      </w:r>
      <w:r>
        <w:t xml:space="preserve"> </w:t>
      </w:r>
      <w:r>
        <w:t xml:space="preserve">engagement, as outlined in this</w:t>
      </w:r>
      <w:r>
        <w:t xml:space="preserve"> </w:t>
      </w:r>
      <w:r>
        <w:t xml:space="preserve">Quotation Estimate</w:t>
      </w:r>
      <w:r>
        <w:t xml:space="preserve">, encompasses the following deliverables to be executed at the client's premises in Tehran, Iran, and at our firm's office in the Valiasr commercial district:</w:t>
      </w:r>
    </w:p>
    <w:p>
      <w:pPr>
        <w:numPr>
          <w:ilvl w:val="0"/>
          <w:numId w:val="1001"/>
        </w:numPr>
        <w:pStyle w:val="Compact"/>
      </w:pPr>
      <w:r>
        <w:t xml:space="preserve">Full-scope statutory financial audit of annual accounts in accordance with Iranian Accounting Standards (IAS) and International Financial Reporting Standards (IFRS) as adopted in Iran.</w:t>
      </w:r>
    </w:p>
    <w:p>
      <w:pPr>
        <w:numPr>
          <w:ilvl w:val="0"/>
          <w:numId w:val="1001"/>
        </w:numPr>
        <w:pStyle w:val="Compact"/>
      </w:pPr>
      <w:r>
        <w:t xml:space="preserve">Internal control evaluation across all operational departments, including procurement, inventory management, payroll, and revenue cycles.</w:t>
      </w:r>
    </w:p>
    <w:p>
      <w:pPr>
        <w:numPr>
          <w:ilvl w:val="0"/>
          <w:numId w:val="1001"/>
        </w:numPr>
        <w:pStyle w:val="Compact"/>
      </w:pPr>
      <w:r>
        <w:t xml:space="preserve">Compliance verification with the Iranian Tax Administration, the Central Bank of Iran (CBI) regulations, and applicable commercial codes of the Islamic Republic.</w:t>
      </w:r>
    </w:p>
    <w:p>
      <w:pPr>
        <w:numPr>
          <w:ilvl w:val="0"/>
          <w:numId w:val="1001"/>
        </w:numPr>
        <w:pStyle w:val="Compact"/>
      </w:pPr>
      <w:r>
        <w:t xml:space="preserve">Forensic review of related-party transactions and identification of any material misstatements or irregularities.</w:t>
      </w:r>
    </w:p>
    <w:p>
      <w:pPr>
        <w:numPr>
          <w:ilvl w:val="0"/>
          <w:numId w:val="1001"/>
        </w:numPr>
        <w:pStyle w:val="Compact"/>
      </w:pPr>
      <w:r>
        <w:t xml:space="preserve">Preparation of the Auditor's Report, Management Letter, and Compliance Certification for submission to relevant Iranian regulatory authorities in Tehran.</w:t>
      </w:r>
    </w:p>
    <w:p>
      <w:pPr>
        <w:numPr>
          <w:ilvl w:val="0"/>
          <w:numId w:val="1001"/>
        </w:numPr>
        <w:pStyle w:val="Compact"/>
      </w:pPr>
      <w:r>
        <w:t xml:space="preserve">Advisory consultation sessions (up to 12 hours) with the client's finance team regarding remediation of identified control weaknesses.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Auditor Service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Lead Auditor (CPA, IAO-licensed) — Tehran office engagement</w:t>
            </w:r>
          </w:p>
        </w:tc>
        <w:tc>
          <w:tcPr/>
          <w:p>
            <w:pPr>
              <w:pStyle w:val="Compact"/>
              <w:jc w:val="left"/>
            </w:pPr>
            <w:r>
              <w:t xml:space="preserve">45 hours</w:t>
            </w:r>
          </w:p>
        </w:tc>
        <w:tc>
          <w:tcPr/>
          <w:p>
            <w:pPr>
              <w:pStyle w:val="Compact"/>
              <w:jc w:val="left"/>
            </w:pPr>
            <w:r>
              <w:t xml:space="preserve">$120.00</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Senior Auditor &amp; Audit Team (3 professionals)</w:t>
            </w:r>
          </w:p>
        </w:tc>
        <w:tc>
          <w:tcPr/>
          <w:p>
            <w:pPr>
              <w:pStyle w:val="Compact"/>
              <w:jc w:val="left"/>
            </w:pPr>
            <w:r>
              <w:t xml:space="preserve">120 hours</w:t>
            </w:r>
          </w:p>
        </w:tc>
        <w:tc>
          <w:tcPr/>
          <w:p>
            <w:pPr>
              <w:pStyle w:val="Compact"/>
              <w:jc w:val="left"/>
            </w:pPr>
            <w:r>
              <w:t xml:space="preserve">$75.00</w:t>
            </w:r>
          </w:p>
        </w:tc>
        <w:tc>
          <w:tcPr/>
          <w:p>
            <w:pPr>
              <w:pStyle w:val="Compact"/>
              <w:jc w:val="left"/>
            </w:pPr>
            <w:r>
              <w:t xml:space="preserve">$9,000.00</w:t>
            </w:r>
          </w:p>
        </w:tc>
      </w:tr>
      <w:tr>
        <w:tc>
          <w:tcPr/>
          <w:p>
            <w:pPr>
              <w:pStyle w:val="Compact"/>
              <w:jc w:val="left"/>
            </w:pPr>
            <w:r>
              <w:t xml:space="preserve">03</w:t>
            </w:r>
          </w:p>
        </w:tc>
        <w:tc>
          <w:tcPr/>
          <w:p>
            <w:pPr>
              <w:pStyle w:val="Compact"/>
              <w:jc w:val="left"/>
            </w:pPr>
            <w:r>
              <w:t xml:space="preserve">Internal Control Assessment &amp; IT Audit Module</w:t>
            </w:r>
          </w:p>
        </w:tc>
        <w:tc>
          <w:tcPr/>
          <w:p>
            <w:pPr>
              <w:pStyle w:val="Compact"/>
              <w:jc w:val="left"/>
            </w:pPr>
            <w:r>
              <w:t xml:space="preserve">30 hours</w:t>
            </w:r>
          </w:p>
        </w:tc>
        <w:tc>
          <w:tcPr/>
          <w:p>
            <w:pPr>
              <w:pStyle w:val="Compact"/>
              <w:jc w:val="left"/>
            </w:pPr>
            <w:r>
              <w:t xml:space="preserve">$95.00</w:t>
            </w:r>
          </w:p>
        </w:tc>
        <w:tc>
          <w:tcPr/>
          <w:p>
            <w:pPr>
              <w:pStyle w:val="Compact"/>
              <w:jc w:val="left"/>
            </w:pPr>
            <w:r>
              <w:t xml:space="preserve">$2,850.00</w:t>
            </w:r>
          </w:p>
        </w:tc>
      </w:tr>
      <w:tr>
        <w:tc>
          <w:tcPr/>
          <w:p>
            <w:pPr>
              <w:pStyle w:val="Compact"/>
              <w:jc w:val="left"/>
            </w:pPr>
            <w:r>
              <w:t xml:space="preserve">04</w:t>
            </w:r>
          </w:p>
        </w:tc>
        <w:tc>
          <w:tcPr/>
          <w:p>
            <w:pPr>
              <w:pStyle w:val="Compact"/>
              <w:jc w:val="left"/>
            </w:pPr>
            <w:r>
              <w:t xml:space="preserve">Regulatory Compliance Review (Tax, CBI, SEO)</w:t>
            </w:r>
          </w:p>
        </w:tc>
        <w:tc>
          <w:tcPr/>
          <w:p>
            <w:pPr>
              <w:pStyle w:val="Compact"/>
              <w:jc w:val="left"/>
            </w:pPr>
            <w:r>
              <w:t xml:space="preserve">20 hours</w:t>
            </w:r>
          </w:p>
        </w:tc>
        <w:tc>
          <w:tcPr/>
          <w:p>
            <w:pPr>
              <w:pStyle w:val="Compact"/>
              <w:jc w:val="left"/>
            </w:pPr>
            <w:r>
              <w:t xml:space="preserve">$110.00</w:t>
            </w:r>
          </w:p>
        </w:tc>
        <w:tc>
          <w:tcPr/>
          <w:p>
            <w:pPr>
              <w:pStyle w:val="Compact"/>
              <w:jc w:val="left"/>
            </w:pPr>
            <w:r>
              <w:t xml:space="preserve">$2,200.00</w:t>
            </w:r>
          </w:p>
        </w:tc>
      </w:tr>
      <w:tr>
        <w:tc>
          <w:tcPr/>
          <w:p>
            <w:pPr>
              <w:pStyle w:val="Compact"/>
              <w:jc w:val="left"/>
            </w:pPr>
            <w:r>
              <w:t xml:space="preserve">05</w:t>
            </w:r>
          </w:p>
        </w:tc>
        <w:tc>
          <w:tcPr/>
          <w:p>
            <w:pPr>
              <w:pStyle w:val="Compact"/>
              <w:jc w:val="left"/>
            </w:pPr>
            <w:r>
              <w:t xml:space="preserve">Forensic Transaction Review &amp; Related-Party Analysis</w:t>
            </w:r>
          </w:p>
        </w:tc>
        <w:tc>
          <w:tcPr/>
          <w:p>
            <w:pPr>
              <w:pStyle w:val="Compact"/>
              <w:jc w:val="left"/>
            </w:pPr>
            <w:r>
              <w:t xml:space="preserve">15 hours</w:t>
            </w:r>
          </w:p>
        </w:tc>
        <w:tc>
          <w:tcPr/>
          <w:p>
            <w:pPr>
              <w:pStyle w:val="Compact"/>
              <w:jc w:val="left"/>
            </w:pPr>
            <w:r>
              <w:t xml:space="preserve">$130.00</w:t>
            </w:r>
          </w:p>
        </w:tc>
        <w:tc>
          <w:tcPr/>
          <w:p>
            <w:pPr>
              <w:pStyle w:val="Compact"/>
              <w:jc w:val="left"/>
            </w:pPr>
            <w:r>
              <w:t xml:space="preserve">$1,950.00</w:t>
            </w:r>
          </w:p>
        </w:tc>
      </w:tr>
      <w:tr>
        <w:tc>
          <w:tcPr/>
          <w:p>
            <w:pPr>
              <w:pStyle w:val="Compact"/>
              <w:jc w:val="left"/>
            </w:pPr>
            <w:r>
              <w:t xml:space="preserve">06</w:t>
            </w:r>
          </w:p>
        </w:tc>
        <w:tc>
          <w:tcPr/>
          <w:p>
            <w:pPr>
              <w:pStyle w:val="Compact"/>
              <w:jc w:val="left"/>
            </w:pPr>
            <w:r>
              <w:t xml:space="preserve">Advisory Consultation &amp; Remediation Planning</w:t>
            </w:r>
          </w:p>
        </w:tc>
        <w:tc>
          <w:tcPr/>
          <w:p>
            <w:pPr>
              <w:pStyle w:val="Compact"/>
              <w:jc w:val="left"/>
            </w:pPr>
            <w:r>
              <w:t xml:space="preserve">12 hours</w:t>
            </w:r>
          </w:p>
        </w:tc>
        <w:tc>
          <w:tcPr/>
          <w:p>
            <w:pPr>
              <w:pStyle w:val="Compact"/>
              <w:jc w:val="left"/>
            </w:pPr>
            <w:r>
              <w:t xml:space="preserve">$100.00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Travel, Local Transportation &amp; On-Site Expenses (Tehran)</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$850.00</w:t>
            </w:r>
          </w:p>
        </w:tc>
      </w:tr>
      <w:tr>
        <w:tc>
          <w:tcPr/>
          <w:p>
            <w:pPr>
              <w:pStyle w:val="Compact"/>
              <w:jc w:val="left"/>
            </w:pPr>
            <w:r>
              <w:t xml:space="preserve">08</w:t>
            </w:r>
          </w:p>
        </w:tc>
        <w:tc>
          <w:tcPr/>
          <w:p>
            <w:pPr>
              <w:pStyle w:val="Compact"/>
              <w:jc w:val="left"/>
            </w:pPr>
            <w:r>
              <w:t xml:space="preserve">Report Preparation, Printing &amp; Regulatory Filing Fees</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$650.00</w:t>
            </w:r>
          </w:p>
        </w:tc>
      </w:tr>
      <w:tr>
        <w:tc>
          <w:tcPr>
            <w:gridSpan w:val="4"/>
          </w:tcPr>
          <w:p>
            <w:pPr>
              <w:pStyle w:val="Compact"/>
              <w:jc w:val="right"/>
            </w:pPr>
            <w:r>
              <w:t xml:space="preserve">TOTAL ESTIMATED FEE (Before Applicable Taxes)</w:t>
            </w:r>
          </w:p>
        </w:tc>
        <w:tc>
          <w:tcPr/>
          <w:p>
            <w:pPr>
              <w:pStyle w:val="Compact"/>
              <w:jc w:val="left"/>
            </w:pPr>
            <w:r>
              <w:t xml:space="preserve">$24,100.00</w:t>
            </w:r>
          </w:p>
        </w:tc>
      </w:tr>
      <w:tr>
        <w:tc>
          <w:tcPr>
            <w:gridSpan w:val="4"/>
          </w:tcPr>
          <w:p>
            <w:pPr>
              <w:pStyle w:val="Compact"/>
              <w:jc w:val="right"/>
            </w:pPr>
            <w:r>
              <w:t xml:space="preserve">VAT (9% — Iranian Value Added Tax)</w:t>
            </w:r>
          </w:p>
        </w:tc>
        <w:tc>
          <w:tcPr/>
          <w:p>
            <w:pPr>
              <w:pStyle w:val="Compact"/>
              <w:jc w:val="left"/>
            </w:pPr>
            <w:r>
              <w:t xml:space="preserve">$2,169.00</w:t>
            </w:r>
          </w:p>
        </w:tc>
      </w:tr>
      <w:tr>
        <w:tc>
          <w:tcPr>
            <w:gridSpan w:val="4"/>
          </w:tcPr>
          <w:p>
            <w:pPr>
              <w:pStyle w:val="Compact"/>
              <w:jc w:val="right"/>
            </w:pPr>
            <w:r>
              <w:t xml:space="preserve">GRAND TOTAL</w:t>
            </w:r>
          </w:p>
        </w:tc>
        <w:tc>
          <w:tcPr/>
          <w:p>
            <w:pPr>
              <w:pStyle w:val="Compact"/>
              <w:jc w:val="left"/>
            </w:pPr>
            <w:r>
              <w:t xml:space="preserve">$26,269.00</w:t>
            </w:r>
          </w:p>
        </w:tc>
      </w:tr>
    </w:tbl>
    <w:bookmarkEnd w:id="23"/>
    <w:bookmarkStart w:id="24" w:name="payment-terms"/>
    <w:p>
      <w:pPr>
        <w:pStyle w:val="Heading2"/>
      </w:pPr>
      <w:r>
        <w:t xml:space="preserve">4. Payment Terms</w:t>
      </w:r>
    </w:p>
    <w:p>
      <w:pPr>
        <w:numPr>
          <w:ilvl w:val="0"/>
          <w:numId w:val="1002"/>
        </w:numPr>
        <w:pStyle w:val="Compact"/>
      </w:pPr>
      <w:r>
        <w:t xml:space="preserve">40% advance payment upon acceptance of this</w:t>
      </w:r>
      <w:r>
        <w:t xml:space="preserve"> </w:t>
      </w:r>
      <w:r>
        <w:t xml:space="preserve">Quotation Estimate</w:t>
      </w:r>
      <w:r>
        <w:t xml:space="preserve"> </w:t>
      </w:r>
      <w:r>
        <w:t xml:space="preserve">and execution of the Auditor engagement letter.</w:t>
      </w:r>
    </w:p>
    <w:p>
      <w:pPr>
        <w:numPr>
          <w:ilvl w:val="0"/>
          <w:numId w:val="1002"/>
        </w:numPr>
        <w:pStyle w:val="Compact"/>
      </w:pPr>
      <w:r>
        <w:t xml:space="preserve">40% upon completion of fieldwork and delivery of the draft Auditor's Report.</w:t>
      </w:r>
    </w:p>
    <w:p>
      <w:pPr>
        <w:numPr>
          <w:ilvl w:val="0"/>
          <w:numId w:val="1002"/>
        </w:numPr>
        <w:pStyle w:val="Compact"/>
      </w:pPr>
      <w:r>
        <w:t xml:space="preserve">20% upon final delivery of the signed Auditor's Report and all compliance certifications to the client in Tehran.</w:t>
      </w:r>
    </w:p>
    <w:p>
      <w:pPr>
        <w:numPr>
          <w:ilvl w:val="0"/>
          <w:numId w:val="1002"/>
        </w:numPr>
        <w:pStyle w:val="Compact"/>
      </w:pPr>
      <w:r>
        <w:t xml:space="preserve">All payments shall be made via bank transfer to the firm's designated account at Bank Melli, Tehran branch. Invoices will be issued in both IRR and USD equivalents at the Central Bank of Iran's official exchange rate on the date of invoicing.</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the</w:t>
      </w:r>
      <w:r>
        <w:t xml:space="preserve"> </w:t>
      </w:r>
      <w:r>
        <w:t xml:space="preserve">Auditor</w:t>
      </w:r>
      <w:r>
        <w:t xml:space="preserve"> </w:t>
      </w:r>
      <w:r>
        <w:t xml:space="preserve">fees may be subject to revision based on prevailing economic conditions in Iran Tehran.</w:t>
      </w:r>
    </w:p>
    <w:p>
      <w:pPr>
        <w:numPr>
          <w:ilvl w:val="0"/>
          <w:numId w:val="1003"/>
        </w:numPr>
        <w:pStyle w:val="Compact"/>
      </w:pPr>
      <w:r>
        <w:t xml:space="preserve">The</w:t>
      </w:r>
      <w:r>
        <w:t xml:space="preserve"> </w:t>
      </w:r>
      <w:r>
        <w:t xml:space="preserve">Auditor</w:t>
      </w:r>
      <w:r>
        <w:t xml:space="preserve"> </w:t>
      </w:r>
      <w:r>
        <w:t xml:space="preserve">shall maintain strict professional independence and confidentiality in accordance with the Iranian Code of Ethics for Professional Accountants.</w:t>
      </w:r>
    </w:p>
    <w:p>
      <w:pPr>
        <w:numPr>
          <w:ilvl w:val="0"/>
          <w:numId w:val="1003"/>
        </w:numPr>
        <w:pStyle w:val="Compact"/>
      </w:pPr>
      <w:r>
        <w:t xml:space="preserve">Any additional services beyond the scope defined herein will be subject to a separate written amendment to this</w:t>
      </w:r>
      <w:r>
        <w:t xml:space="preserve"> </w:t>
      </w:r>
      <w:r>
        <w:t xml:space="preserve">Quotation Estimate</w:t>
      </w:r>
      <w:r>
        <w:t xml:space="preserve">.</w:t>
      </w:r>
    </w:p>
    <w:p>
      <w:pPr>
        <w:numPr>
          <w:ilvl w:val="0"/>
          <w:numId w:val="1003"/>
        </w:numPr>
        <w:pStyle w:val="Compact"/>
      </w:pPr>
      <w:r>
        <w:t xml:space="preserve">The engagement shall be governed by the laws of the Islamic Republic of Iran, and any disputes shall be resolved through the Tehran Arbitration Center.</w:t>
      </w:r>
    </w:p>
    <w:p>
      <w:pPr>
        <w:numPr>
          <w:ilvl w:val="0"/>
          <w:numId w:val="1003"/>
        </w:numPr>
        <w:pStyle w:val="Compact"/>
      </w:pPr>
      <w:r>
        <w:t xml:space="preserve">The</w:t>
      </w:r>
      <w:r>
        <w:t xml:space="preserve"> </w:t>
      </w:r>
      <w:r>
        <w:t xml:space="preserve">Auditor</w:t>
      </w:r>
      <w:r>
        <w:t xml:space="preserve"> </w:t>
      </w:r>
      <w:r>
        <w:t xml:space="preserve">is not liable for any consequential losses arising from the client's failure to provide complete and accurate financial records in a timely manner.</w:t>
      </w:r>
    </w:p>
    <w:bookmarkEnd w:id="25"/>
    <w:bookmarkStart w:id="26" w:name="acceptance"/>
    <w:p>
      <w:pPr>
        <w:pStyle w:val="Heading2"/>
      </w:pPr>
      <w:r>
        <w:t xml:space="preserve">6.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scope, and fees outlined for the</w:t>
      </w:r>
      <w:r>
        <w:t xml:space="preserve"> </w:t>
      </w:r>
      <w:r>
        <w:t xml:space="preserve">Auditor</w:t>
      </w:r>
      <w:r>
        <w:t xml:space="preserve"> </w:t>
      </w:r>
      <w:r>
        <w:t xml:space="preserve">engagement in</w:t>
      </w:r>
      <w:r>
        <w:t xml:space="preserve"> </w:t>
      </w:r>
      <w:r>
        <w:t xml:space="preserve">Iran Tehran</w:t>
      </w:r>
      <w:r>
        <w:t xml:space="preserve">.</w:t>
      </w:r>
    </w:p>
    <w:p>
      <w:pPr>
        <w:pStyle w:val="BodyText"/>
      </w:pPr>
      <w:r>
        <w:rPr>
          <w:bCs/>
          <w:b/>
        </w:rPr>
        <w:t xml:space="preserve">For Meridian Audit &amp; Advisory Group</w:t>
      </w:r>
      <w:r>
        <w:br/>
      </w:r>
      <w:r>
        <w:t xml:space="preserve">Authorized Signatory — Lead Auditor</w:t>
      </w:r>
      <w:r>
        <w:br/>
      </w:r>
      <w:r>
        <w:t xml:space="preserve">Name: _________________________</w:t>
      </w:r>
      <w:r>
        <w:br/>
      </w:r>
      <w:r>
        <w:t xml:space="preserve">Date: _________________________</w:t>
      </w:r>
    </w:p>
    <w:p>
      <w:pPr>
        <w:pStyle w:val="BodyText"/>
      </w:pPr>
      <w:r>
        <w:rPr>
          <w:bCs/>
          <w:b/>
        </w:rPr>
        <w:t xml:space="preserve">For the Client</w:t>
      </w:r>
      <w:r>
        <w:br/>
      </w:r>
      <w:r>
        <w:t xml:space="preserve">Authorized Representative</w:t>
      </w:r>
      <w:r>
        <w:br/>
      </w:r>
      <w:r>
        <w:t xml:space="preserve">Name: _________________________</w:t>
      </w:r>
      <w:r>
        <w:br/>
      </w:r>
      <w:r>
        <w:t xml:space="preserve">Date: _________________________</w:t>
      </w:r>
    </w:p>
    <w:p>
      <w:pPr>
        <w:pStyle w:val="BodyText"/>
      </w:pPr>
      <w:r>
        <w:rPr>
          <w:bCs/>
          <w:b/>
        </w:rPr>
        <w:t xml:space="preserve">Disclaimer:</w:t>
      </w:r>
      <w:r>
        <w:t xml:space="preserve"> </w:t>
      </w:r>
      <w:r>
        <w:t xml:space="preserve">This Quotation Estimate is a non-binding proposal until formally accepted in writing by both parties. All references to Iran Tehran pertain to the geographic and regulatory jurisdiction in which the Auditor services will be performed. Meridian Audit &amp; Advisory Group is a registered firm with the Iranian Auditing Organization (IAO), License No. IAO-TEH-2019-0847, and operates in full compliance with all applicable Iranian commercial and auditing regulations. This document is the property of Meridian Audit &amp; Advisory Group and shall not be reproduced or distributed without prior written consent.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Iran Tehran</dc:title>
  <dc:creator/>
  <dc:language>en</dc:language>
  <cp:keywords/>
  <dcterms:created xsi:type="dcterms:W3CDTF">2026-10-10T02:09:22Z</dcterms:created>
  <dcterms:modified xsi:type="dcterms:W3CDTF">2026-10-10T02:09:22Z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