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Auditor Services — Israel Tel Aviv</w:t>
      </w:r>
    </w:p>
    <w:bookmarkEnd w:id="20"/>
    <w:bookmarkStart w:id="21" w:name="prepared-by"/>
    <w:p>
      <w:pPr>
        <w:pStyle w:val="Heading3"/>
      </w:pPr>
      <w:r>
        <w:t xml:space="preserve">Prepared By:</w:t>
      </w:r>
    </w:p>
    <w:p>
      <w:pPr>
        <w:pStyle w:val="FirstParagraph"/>
      </w:pPr>
      <w:r>
        <w:rPr>
          <w:bCs/>
          <w:b/>
        </w:rPr>
        <w:t xml:space="preserve">Levantine Audit &amp; Assurance Group Ltd.</w:t>
      </w:r>
      <w:r>
        <w:br/>
      </w:r>
      <w:r>
        <w:t xml:space="preserve">42 Dizengoff Street, Floor 7</w:t>
      </w:r>
      <w:r>
        <w:br/>
      </w:r>
      <w:r>
        <w:t xml:space="preserve">Tel Aviv, Israel 6310000</w:t>
      </w:r>
      <w:r>
        <w:br/>
      </w:r>
      <w:r>
        <w:t xml:space="preserve">Tel: +972-3-621-4400</w:t>
      </w:r>
      <w:r>
        <w:br/>
      </w:r>
      <w:r>
        <w:t xml:space="preserve">Email: quotations@levantineaudit.co.il</w:t>
      </w:r>
      <w:r>
        <w:br/>
      </w:r>
      <w:r>
        <w:t xml:space="preserve">License No.: 104582 (Israeli Auditors Association)</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[Street, City, Israel]</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r>
        <w:br/>
      </w:r>
      <w:r>
        <w:rPr>
          <w:bCs/>
          <w:b/>
        </w:rPr>
        <w:t xml:space="preserve">Tax ID (Mazal):</w:t>
      </w:r>
      <w:r>
        <w:t xml:space="preserve"> </w:t>
      </w:r>
      <w:r>
        <w:t xml:space="preserve">[51-XXXXXXXXX]</w:t>
      </w:r>
    </w:p>
    <w:bookmarkEnd w:id="22"/>
    <w:p>
      <w:pPr>
        <w:pStyle w:val="BodyText"/>
      </w:pPr>
      <w:r>
        <w:t xml:space="preserve">Quotation Estimate No.:</w:t>
      </w:r>
      <w:r>
        <w:t xml:space="preserve"> </w:t>
      </w:r>
      <w:r>
        <w:t xml:space="preserve">QTE-2025-TLV-0847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Location:</w:t>
      </w:r>
      <w:r>
        <w:t xml:space="preserve"> </w:t>
      </w:r>
      <w:r>
        <w:t xml:space="preserve">Israel Tel Aviv &amp; Surrounding Areas</w:t>
      </w:r>
    </w:p>
    <w:p>
      <w:pPr>
        <w:pStyle w:val="BodyText"/>
      </w:pPr>
      <w:r>
        <w:t xml:space="preserve">Currency:</w:t>
      </w:r>
      <w:r>
        <w:t xml:space="preserve"> </w:t>
      </w:r>
      <w:r>
        <w:t xml:space="preserve">Israeli New Shekel (ILS / ₪)</w:t>
      </w:r>
    </w:p>
    <w:p>
      <w:pPr>
        <w:pStyle w:val="BodyText"/>
      </w:pPr>
      <w:r>
        <w:t xml:space="preserve">VAT:</w:t>
      </w:r>
      <w:r>
        <w:t xml:space="preserve"> </w:t>
      </w:r>
      <w:r>
        <w:t xml:space="preserve">18% (included in all line items)</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Levantine Audit &amp; Assurance Group Ltd. to provide a comprehensive, itemized cost breakdown for the engagement of a certified</w:t>
      </w:r>
      <w:r>
        <w:t xml:space="preserve"> </w:t>
      </w:r>
      <w:r>
        <w:t xml:space="preserve">Auditor</w:t>
      </w:r>
      <w:r>
        <w:t xml:space="preserve"> </w:t>
      </w:r>
      <w:r>
        <w:t xml:space="preserve">to perform statutory and voluntary audit services for the client's fiscal year 2024–2025. All services described herein will be delivered in accordance with the Israeli Companies Law, 5759-1999, the Standards of the Israeli Institute of Certified Public Accountants (ICPA), and International Standards on Auditing (ISA) as adopted in Israel Tel Aviv and throughout the State of Israel.</w:t>
      </w:r>
    </w:p>
    <w:p>
      <w:pPr>
        <w:pStyle w:val="BodyText"/>
      </w:pPr>
      <w:r>
        <w:t xml:space="preserve">The</w:t>
      </w:r>
      <w:r>
        <w:t xml:space="preserve"> </w:t>
      </w:r>
      <w:r>
        <w:t xml:space="preserve">Auditor</w:t>
      </w:r>
      <w:r>
        <w:t xml:space="preserve"> </w:t>
      </w:r>
      <w:r>
        <w:t xml:space="preserve">engagement outlined in this</w:t>
      </w:r>
      <w:r>
        <w:t xml:space="preserve"> </w:t>
      </w:r>
      <w:r>
        <w:t xml:space="preserve">Quotation Estimate</w:t>
      </w:r>
      <w:r>
        <w:t xml:space="preserve"> </w:t>
      </w:r>
      <w:r>
        <w:t xml:space="preserve">is specifically tailored to the regulatory and commercial environment of Israel Tel Aviv, taking into account the unique requirements of the Israel Securities Authority (ISA), the Israel Tax Authority, and the local business registration authorities operating in the Tel Aviv District.</w:t>
      </w:r>
    </w:p>
    <w:bookmarkEnd w:id="23"/>
    <w:bookmarkStart w:id="24" w:name="detailed-service-line-items"/>
    <w:p>
      <w:pPr>
        <w:pStyle w:val="Heading2"/>
      </w:pPr>
      <w:r>
        <w:t xml:space="preserve">2. Detailed Service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Auditor Hours</w:t>
            </w:r>
          </w:p>
        </w:tc>
        <w:tc>
          <w:tcPr/>
          <w:p>
            <w:pPr>
              <w:pStyle w:val="Compact"/>
              <w:jc w:val="left"/>
            </w:pPr>
            <w:r>
              <w:t xml:space="preserve">Rate (ILS/hr)</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Planning &amp; Risk Assessment — Initial meeting with management in Tel Aviv, review of prior year Auditor workpapers, identification of material risk areas specific to the Israel Tel Aviv market sector.</w:t>
            </w:r>
          </w:p>
        </w:tc>
        <w:tc>
          <w:tcPr/>
          <w:p>
            <w:pPr>
              <w:pStyle w:val="Compact"/>
              <w:jc w:val="left"/>
            </w:pPr>
            <w:r>
              <w:t xml:space="preserve">24</w:t>
            </w:r>
          </w:p>
        </w:tc>
        <w:tc>
          <w:tcPr/>
          <w:p>
            <w:pPr>
              <w:pStyle w:val="Compact"/>
              <w:jc w:val="left"/>
            </w:pPr>
            <w:r>
              <w:t xml:space="preserve">₪ 1,200</w:t>
            </w:r>
          </w:p>
        </w:tc>
        <w:tc>
          <w:tcPr/>
          <w:p>
            <w:pPr>
              <w:pStyle w:val="Compact"/>
              <w:jc w:val="left"/>
            </w:pPr>
            <w:r>
              <w:t xml:space="preserve">₪ 28,800</w:t>
            </w:r>
          </w:p>
        </w:tc>
        <w:tc>
          <w:tcPr/>
          <w:p>
            <w:pPr>
              <w:pStyle w:val="Compact"/>
              <w:jc w:val="left"/>
            </w:pPr>
            <w:r>
              <w:t xml:space="preserve">Senior Auditor + Partner</w:t>
            </w:r>
          </w:p>
        </w:tc>
      </w:tr>
      <w:tr>
        <w:tc>
          <w:tcPr/>
          <w:p>
            <w:pPr>
              <w:pStyle w:val="Compact"/>
              <w:jc w:val="left"/>
            </w:pPr>
            <w:r>
              <w:t xml:space="preserve">2</w:t>
            </w:r>
          </w:p>
        </w:tc>
        <w:tc>
          <w:tcPr/>
          <w:p>
            <w:pPr>
              <w:pStyle w:val="Compact"/>
              <w:jc w:val="left"/>
            </w:pPr>
            <w:r>
              <w:t xml:space="preserve">Statutory Financial Statement Audit — Full audit of balance sheet, income statement, cash flow, and notes to accounts in compliance with Israeli GAAP and IFRS as applied in Israel Tel Aviv.</w:t>
            </w:r>
          </w:p>
        </w:tc>
        <w:tc>
          <w:tcPr/>
          <w:p>
            <w:pPr>
              <w:pStyle w:val="Compact"/>
              <w:jc w:val="left"/>
            </w:pPr>
            <w:r>
              <w:t xml:space="preserve">96</w:t>
            </w:r>
          </w:p>
        </w:tc>
        <w:tc>
          <w:tcPr/>
          <w:p>
            <w:pPr>
              <w:pStyle w:val="Compact"/>
              <w:jc w:val="left"/>
            </w:pPr>
            <w:r>
              <w:t xml:space="preserve">₪ 1,100</w:t>
            </w:r>
          </w:p>
        </w:tc>
        <w:tc>
          <w:tcPr/>
          <w:p>
            <w:pPr>
              <w:pStyle w:val="Compact"/>
              <w:jc w:val="left"/>
            </w:pPr>
            <w:r>
              <w:t xml:space="preserve">₪ 105,600</w:t>
            </w:r>
          </w:p>
        </w:tc>
        <w:tc>
          <w:tcPr/>
          <w:p>
            <w:pPr>
              <w:pStyle w:val="Compact"/>
              <w:jc w:val="left"/>
            </w:pPr>
            <w:r>
              <w:t xml:space="preserve">Lead Auditor + 2 Staff</w:t>
            </w:r>
          </w:p>
        </w:tc>
      </w:tr>
      <w:tr>
        <w:tc>
          <w:tcPr/>
          <w:p>
            <w:pPr>
              <w:pStyle w:val="Compact"/>
              <w:jc w:val="left"/>
            </w:pPr>
            <w:r>
              <w:t xml:space="preserve">3</w:t>
            </w:r>
          </w:p>
        </w:tc>
        <w:tc>
          <w:tcPr/>
          <w:p>
            <w:pPr>
              <w:pStyle w:val="Compact"/>
              <w:jc w:val="left"/>
            </w:pPr>
            <w:r>
              <w:t xml:space="preserve">Internal Controls Review — Evaluation of the client's internal control environment, IT general controls, and segregation of duties as required by the Auditor under Israeli regulatory frameworks.</w:t>
            </w:r>
          </w:p>
        </w:tc>
        <w:tc>
          <w:tcPr/>
          <w:p>
            <w:pPr>
              <w:pStyle w:val="Compact"/>
              <w:jc w:val="left"/>
            </w:pPr>
            <w:r>
              <w:t xml:space="preserve">40</w:t>
            </w:r>
          </w:p>
        </w:tc>
        <w:tc>
          <w:tcPr/>
          <w:p>
            <w:pPr>
              <w:pStyle w:val="Compact"/>
              <w:jc w:val="left"/>
            </w:pPr>
            <w:r>
              <w:t xml:space="preserve">₪ 1,050</w:t>
            </w:r>
          </w:p>
        </w:tc>
        <w:tc>
          <w:tcPr/>
          <w:p>
            <w:pPr>
              <w:pStyle w:val="Compact"/>
              <w:jc w:val="left"/>
            </w:pPr>
            <w:r>
              <w:t xml:space="preserve">₪ 42,000</w:t>
            </w:r>
          </w:p>
        </w:tc>
        <w:tc>
          <w:tcPr/>
          <w:p>
            <w:pPr>
              <w:pStyle w:val="Compact"/>
              <w:jc w:val="left"/>
            </w:pPr>
            <w:r>
              <w:t xml:space="preserve">Specialist Auditor</w:t>
            </w:r>
          </w:p>
        </w:tc>
      </w:tr>
      <w:tr>
        <w:tc>
          <w:tcPr/>
          <w:p>
            <w:pPr>
              <w:pStyle w:val="Compact"/>
              <w:jc w:val="left"/>
            </w:pPr>
            <w:r>
              <w:t xml:space="preserve">4</w:t>
            </w:r>
          </w:p>
        </w:tc>
        <w:tc>
          <w:tcPr/>
          <w:p>
            <w:pPr>
              <w:pStyle w:val="Compact"/>
              <w:jc w:val="left"/>
            </w:pPr>
            <w:r>
              <w:t xml:space="preserve">Tax Compliance Verification — Cross-referencing of audited figures with Israel Tax Authority filings, VAT returns, and corporate tax declarations specific to entities registered in Israel Tel Aviv.</w:t>
            </w:r>
          </w:p>
        </w:tc>
        <w:tc>
          <w:tcPr/>
          <w:p>
            <w:pPr>
              <w:pStyle w:val="Compact"/>
              <w:jc w:val="left"/>
            </w:pPr>
            <w:r>
              <w:t xml:space="preserve">20</w:t>
            </w:r>
          </w:p>
        </w:tc>
        <w:tc>
          <w:tcPr/>
          <w:p>
            <w:pPr>
              <w:pStyle w:val="Compact"/>
              <w:jc w:val="left"/>
            </w:pPr>
            <w:r>
              <w:t xml:space="preserve">₪ 1,150</w:t>
            </w:r>
          </w:p>
        </w:tc>
        <w:tc>
          <w:tcPr/>
          <w:p>
            <w:pPr>
              <w:pStyle w:val="Compact"/>
              <w:jc w:val="left"/>
            </w:pPr>
            <w:r>
              <w:t xml:space="preserve">₪ 23,000</w:t>
            </w:r>
          </w:p>
        </w:tc>
        <w:tc>
          <w:tcPr/>
          <w:p>
            <w:pPr>
              <w:pStyle w:val="Compact"/>
              <w:jc w:val="left"/>
            </w:pPr>
            <w:r>
              <w:t xml:space="preserve">Tax Auditor</w:t>
            </w:r>
          </w:p>
        </w:tc>
      </w:tr>
      <w:tr>
        <w:tc>
          <w:tcPr/>
          <w:p>
            <w:pPr>
              <w:pStyle w:val="Compact"/>
              <w:jc w:val="left"/>
            </w:pPr>
            <w:r>
              <w:t xml:space="preserve">5</w:t>
            </w:r>
          </w:p>
        </w:tc>
        <w:tc>
          <w:tcPr/>
          <w:p>
            <w:pPr>
              <w:pStyle w:val="Compact"/>
              <w:jc w:val="left"/>
            </w:pPr>
            <w:r>
              <w:t xml:space="preserve">Regulatory Reporting &amp; Filing — Preparation and submission of the Auditor's report to the Israel Companies Registrar, the Israel Securities Authority (if applicable), and any other relevant Israel Tel Aviv regulatory bodies.</w:t>
            </w:r>
          </w:p>
        </w:tc>
        <w:tc>
          <w:tcPr/>
          <w:p>
            <w:pPr>
              <w:pStyle w:val="Compact"/>
              <w:jc w:val="left"/>
            </w:pPr>
            <w:r>
              <w:t xml:space="preserve">12</w:t>
            </w:r>
          </w:p>
        </w:tc>
        <w:tc>
          <w:tcPr/>
          <w:p>
            <w:pPr>
              <w:pStyle w:val="Compact"/>
              <w:jc w:val="left"/>
            </w:pPr>
            <w:r>
              <w:t xml:space="preserve">₪ 1,200</w:t>
            </w:r>
          </w:p>
        </w:tc>
        <w:tc>
          <w:tcPr/>
          <w:p>
            <w:pPr>
              <w:pStyle w:val="Compact"/>
              <w:jc w:val="left"/>
            </w:pPr>
            <w:r>
              <w:t xml:space="preserve">₪ 14,400</w:t>
            </w:r>
          </w:p>
        </w:tc>
        <w:tc>
          <w:tcPr/>
          <w:p>
            <w:pPr>
              <w:pStyle w:val="Compact"/>
              <w:jc w:val="left"/>
            </w:pPr>
            <w:r>
              <w:t xml:space="preserve">Partner-level</w:t>
            </w:r>
          </w:p>
        </w:tc>
      </w:tr>
      <w:tr>
        <w:tc>
          <w:tcPr/>
          <w:p>
            <w:pPr>
              <w:pStyle w:val="Compact"/>
              <w:jc w:val="left"/>
            </w:pPr>
            <w:r>
              <w:t xml:space="preserve">6</w:t>
            </w:r>
          </w:p>
        </w:tc>
        <w:tc>
          <w:tcPr/>
          <w:p>
            <w:pPr>
              <w:pStyle w:val="Compact"/>
              <w:jc w:val="left"/>
            </w:pPr>
            <w:r>
              <w:t xml:space="preserve">Management Letter &amp; Advisory — Written report from the Auditor detailing observations, recommendations for process improvement, and compliance gaps identified during the audit engagement in Israel Tel Aviv.</w:t>
            </w:r>
          </w:p>
        </w:tc>
        <w:tc>
          <w:tcPr/>
          <w:p>
            <w:pPr>
              <w:pStyle w:val="Compact"/>
              <w:jc w:val="left"/>
            </w:pPr>
            <w:r>
              <w:t xml:space="preserve">16</w:t>
            </w:r>
          </w:p>
        </w:tc>
        <w:tc>
          <w:tcPr/>
          <w:p>
            <w:pPr>
              <w:pStyle w:val="Compact"/>
              <w:jc w:val="left"/>
            </w:pPr>
            <w:r>
              <w:t xml:space="preserve">₪ 1,250</w:t>
            </w:r>
          </w:p>
        </w:tc>
        <w:tc>
          <w:tcPr/>
          <w:p>
            <w:pPr>
              <w:pStyle w:val="Compact"/>
              <w:jc w:val="left"/>
            </w:pPr>
            <w:r>
              <w:t xml:space="preserve">₪ 20,000</w:t>
            </w:r>
          </w:p>
        </w:tc>
        <w:tc>
          <w:tcPr/>
          <w:p>
            <w:pPr>
              <w:pStyle w:val="Compact"/>
              <w:jc w:val="left"/>
            </w:pPr>
            <w:r>
              <w:t xml:space="preserve">Partner + Senior</w:t>
            </w:r>
          </w:p>
        </w:tc>
      </w:tr>
      <w:tr>
        <w:tc>
          <w:tcPr/>
          <w:p>
            <w:pPr>
              <w:pStyle w:val="Compact"/>
              <w:jc w:val="left"/>
            </w:pPr>
            <w:r>
              <w:t xml:space="preserve">7</w:t>
            </w:r>
          </w:p>
        </w:tc>
        <w:tc>
          <w:tcPr/>
          <w:p>
            <w:pPr>
              <w:pStyle w:val="Compact"/>
              <w:jc w:val="left"/>
            </w:pPr>
            <w:r>
              <w:t xml:space="preserve">On-Site Fieldwork &amp; Travel (Tel Aviv District) — Physical inspection of assets, inventory counts, and site visits to client premises located within Israel Tel Aviv and the greater Tel Aviv metropolitan area.</w:t>
            </w:r>
          </w:p>
        </w:tc>
        <w:tc>
          <w:tcPr/>
          <w:p>
            <w:pPr>
              <w:pStyle w:val="Compact"/>
              <w:jc w:val="left"/>
            </w:pPr>
            <w:r>
              <w:t xml:space="preserve">16</w:t>
            </w:r>
          </w:p>
        </w:tc>
        <w:tc>
          <w:tcPr/>
          <w:p>
            <w:pPr>
              <w:pStyle w:val="Compact"/>
              <w:jc w:val="left"/>
            </w:pPr>
            <w:r>
              <w:t xml:space="preserve">₪ 950</w:t>
            </w:r>
          </w:p>
        </w:tc>
        <w:tc>
          <w:tcPr/>
          <w:p>
            <w:pPr>
              <w:pStyle w:val="Compact"/>
              <w:jc w:val="left"/>
            </w:pPr>
            <w:r>
              <w:t xml:space="preserve">₪ 15,200</w:t>
            </w:r>
          </w:p>
        </w:tc>
        <w:tc>
          <w:tcPr/>
          <w:p>
            <w:pPr>
              <w:pStyle w:val="Compact"/>
              <w:jc w:val="left"/>
            </w:pPr>
            <w:r>
              <w:t xml:space="preserve">All Auditor team</w:t>
            </w:r>
          </w:p>
        </w:tc>
      </w:tr>
      <w:tr>
        <w:tc>
          <w:tcPr/>
          <w:p>
            <w:pPr>
              <w:pStyle w:val="Compact"/>
              <w:jc w:val="left"/>
            </w:pPr>
            <w:r>
              <w:t xml:space="preserve">8</w:t>
            </w:r>
          </w:p>
        </w:tc>
        <w:tc>
          <w:tcPr/>
          <w:p>
            <w:pPr>
              <w:pStyle w:val="Compact"/>
              <w:jc w:val="left"/>
            </w:pPr>
            <w:r>
              <w:t xml:space="preserve">Final Review, Sign-Off &amp; Archiving — Partner-level review of the complete Auditor file, issuance of the formal audit opinion, and secure archiving in compliance with Israeli record-retention laws.</w:t>
            </w:r>
          </w:p>
        </w:tc>
        <w:tc>
          <w:tcPr/>
          <w:p>
            <w:pPr>
              <w:pStyle w:val="Compact"/>
              <w:jc w:val="left"/>
            </w:pPr>
            <w:r>
              <w:t xml:space="preserve">12</w:t>
            </w:r>
          </w:p>
        </w:tc>
        <w:tc>
          <w:tcPr/>
          <w:p>
            <w:pPr>
              <w:pStyle w:val="Compact"/>
              <w:jc w:val="left"/>
            </w:pPr>
            <w:r>
              <w:t xml:space="preserve">₪ 1,300</w:t>
            </w:r>
          </w:p>
        </w:tc>
        <w:tc>
          <w:tcPr/>
          <w:p>
            <w:pPr>
              <w:pStyle w:val="Compact"/>
              <w:jc w:val="left"/>
            </w:pPr>
            <w:r>
              <w:t xml:space="preserve">₪ 15,600</w:t>
            </w:r>
          </w:p>
        </w:tc>
        <w:tc>
          <w:tcPr/>
          <w:p>
            <w:pPr>
              <w:pStyle w:val="Compact"/>
              <w:jc w:val="left"/>
            </w:pPr>
            <w:r>
              <w:t xml:space="preserve">Engagement Partner</w:t>
            </w:r>
          </w:p>
        </w:tc>
      </w:tr>
      <w:tr>
        <w:tc>
          <w:tcPr>
            <w:gridSpan w:val="4"/>
          </w:tcPr>
          <w:p>
            <w:pPr>
              <w:pStyle w:val="Compact"/>
              <w:jc w:val="right"/>
            </w:pPr>
            <w:r>
              <w:t xml:space="preserve">Subtotal (excl. VAT):</w:t>
            </w:r>
          </w:p>
        </w:tc>
        <w:tc>
          <w:tcPr/>
          <w:p>
            <w:pPr>
              <w:pStyle w:val="Compact"/>
              <w:jc w:val="left"/>
            </w:pPr>
            <w:r>
              <w:t xml:space="preserve">₪ 264,600</w:t>
            </w:r>
          </w:p>
        </w:tc>
        <w:tc>
          <w:tcPr/>
          <w:p>
            <w:pPr>
              <w:pStyle w:val="Compact"/>
            </w:pPr>
          </w:p>
        </w:tc>
      </w:tr>
      <w:tr>
        <w:tc>
          <w:tcPr>
            <w:gridSpan w:val="4"/>
          </w:tcPr>
          <w:p>
            <w:pPr>
              <w:pStyle w:val="Compact"/>
              <w:jc w:val="right"/>
            </w:pPr>
            <w:r>
              <w:t xml:space="preserve">VAT @ 18%:</w:t>
            </w:r>
          </w:p>
        </w:tc>
        <w:tc>
          <w:tcPr/>
          <w:p>
            <w:pPr>
              <w:pStyle w:val="Compact"/>
              <w:jc w:val="left"/>
            </w:pPr>
            <w:r>
              <w:t xml:space="preserve">₪ 47,628</w:t>
            </w:r>
          </w:p>
        </w:tc>
        <w:tc>
          <w:tcPr/>
          <w:p>
            <w:pPr>
              <w:pStyle w:val="Compact"/>
            </w:pPr>
          </w:p>
        </w:tc>
      </w:tr>
      <w:tr>
        <w:tc>
          <w:tcPr>
            <w:gridSpan w:val="4"/>
          </w:tcPr>
          <w:p>
            <w:pPr>
              <w:pStyle w:val="Compact"/>
              <w:jc w:val="right"/>
            </w:pPr>
            <w:r>
              <w:t xml:space="preserve">TOTAL QUOTATION ESTIMATE (incl. VAT):</w:t>
            </w:r>
          </w:p>
        </w:tc>
        <w:tc>
          <w:tcPr/>
          <w:p>
            <w:pPr>
              <w:pStyle w:val="Compact"/>
              <w:jc w:val="left"/>
            </w:pPr>
            <w:r>
              <w:t xml:space="preserve">₪ 312,228</w:t>
            </w:r>
          </w:p>
        </w:tc>
        <w:tc>
          <w:tcPr/>
          <w:p>
            <w:pPr>
              <w:pStyle w:val="Compact"/>
            </w:pPr>
          </w:p>
        </w:tc>
      </w:tr>
    </w:tbl>
    <w:bookmarkEnd w:id="24"/>
    <w:bookmarkStart w:id="25" w:name="assumptions-and-exclusions"/>
    <w:p>
      <w:pPr>
        <w:pStyle w:val="Heading2"/>
      </w:pPr>
      <w:r>
        <w:t xml:space="preserve">3. Assumptions and Exclusions</w:t>
      </w:r>
    </w:p>
    <w:p>
      <w:pPr>
        <w:pStyle w:val="FirstParagraph"/>
      </w:pPr>
      <w:r>
        <w:t xml:space="preserve">This</w:t>
      </w:r>
      <w:r>
        <w:t xml:space="preserve"> </w:t>
      </w:r>
      <w:r>
        <w:t xml:space="preserve">Quotation Estimate</w:t>
      </w:r>
      <w:r>
        <w:t xml:space="preserve"> </w:t>
      </w:r>
      <w:r>
        <w:t xml:space="preserve">is based on the following assumptions regarding the</w:t>
      </w:r>
      <w:r>
        <w:t xml:space="preserve"> </w:t>
      </w:r>
      <w:r>
        <w:t xml:space="preserve">Auditor</w:t>
      </w:r>
      <w:r>
        <w:t xml:space="preserve"> </w:t>
      </w:r>
      <w:r>
        <w:t xml:space="preserve">engagement in Israel Tel Aviv:</w:t>
      </w:r>
    </w:p>
    <w:p>
      <w:pPr>
        <w:numPr>
          <w:ilvl w:val="0"/>
          <w:numId w:val="1001"/>
        </w:numPr>
        <w:pStyle w:val="Compact"/>
      </w:pPr>
      <w:r>
        <w:t xml:space="preserve">The client's total annual revenue does not exceed ILS 50,000,000 and the entity operates no more than three (3) physical locations within the Tel Aviv District.</w:t>
      </w:r>
    </w:p>
    <w:p>
      <w:pPr>
        <w:numPr>
          <w:ilvl w:val="0"/>
          <w:numId w:val="1001"/>
        </w:numPr>
        <w:pStyle w:val="Compact"/>
      </w:pPr>
      <w:r>
        <w:t xml:space="preserve">All supporting documentation, ledgers, and electronic records will be made available to the</w:t>
      </w:r>
      <w:r>
        <w:t xml:space="preserve"> </w:t>
      </w:r>
      <w:r>
        <w:t xml:space="preserve">Auditor</w:t>
      </w:r>
      <w:r>
        <w:t xml:space="preserve"> </w:t>
      </w:r>
      <w:r>
        <w:t xml:space="preserve">in a timely manner at the client's Israel Tel Aviv office or via secure digital transfer.</w:t>
      </w:r>
    </w:p>
    <w:p>
      <w:pPr>
        <w:numPr>
          <w:ilvl w:val="0"/>
          <w:numId w:val="1001"/>
        </w:numPr>
        <w:pStyle w:val="Compact"/>
      </w:pPr>
      <w:r>
        <w:t xml:space="preserve">The engagement does not include forensic auditing, litigation support, or valuation services. Should the</w:t>
      </w:r>
      <w:r>
        <w:t xml:space="preserve"> </w:t>
      </w:r>
      <w:r>
        <w:t xml:space="preserve">Auditor</w:t>
      </w:r>
      <w:r>
        <w:t xml:space="preserve"> </w:t>
      </w:r>
      <w:r>
        <w:t xml:space="preserve">identify a need for such additional procedures, a supplementary</w:t>
      </w:r>
      <w:r>
        <w:t xml:space="preserve"> </w:t>
      </w:r>
      <w:r>
        <w:t xml:space="preserve">Quotation Estimate</w:t>
      </w:r>
      <w:r>
        <w:t xml:space="preserve"> </w:t>
      </w:r>
      <w:r>
        <w:t xml:space="preserve">will be issued prior to any additional work.</w:t>
      </w:r>
    </w:p>
    <w:p>
      <w:pPr>
        <w:numPr>
          <w:ilvl w:val="0"/>
          <w:numId w:val="1001"/>
        </w:numPr>
        <w:pStyle w:val="Compact"/>
      </w:pPr>
      <w:r>
        <w:t xml:space="preserve">Travel beyond the Tel Aviv metropolitan area (e.g., Haifa, Jerusalem, Beersheba) will be billed separately at cost plus a 15% administrative surcharge.</w:t>
      </w:r>
    </w:p>
    <w:bookmarkEnd w:id="25"/>
    <w:bookmarkStart w:id="26"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Upon expiry, the</w:t>
      </w:r>
      <w:r>
        <w:t xml:space="preserve"> </w:t>
      </w:r>
      <w:r>
        <w:t xml:space="preserve">Auditor</w:t>
      </w:r>
      <w:r>
        <w:t xml:space="preserve"> </w:t>
      </w:r>
      <w:r>
        <w:t xml:space="preserve">rates and scope may be subject to revision based on current market conditions in Israel Tel Aviv.</w:t>
      </w:r>
    </w:p>
    <w:p>
      <w:pPr>
        <w:numPr>
          <w:ilvl w:val="0"/>
          <w:numId w:val="1002"/>
        </w:numPr>
        <w:pStyle w:val="Compact"/>
      </w:pPr>
      <w:r>
        <w:rPr>
          <w:bCs/>
          <w:b/>
        </w:rPr>
        <w:t xml:space="preserve">Payment Terms:</w:t>
      </w:r>
      <w:r>
        <w:t xml:space="preserve"> </w:t>
      </w:r>
      <w:r>
        <w:t xml:space="preserve">40% upon execution of the engagement letter, 40% upon completion of fieldwork, and 20% upon delivery of the final Auditor's report. All payments are due within fourteen (14) days of invoice date. Late payments shall accrue interest at the rate prescribed by the Israeli Interest Law.</w:t>
      </w:r>
    </w:p>
    <w:p>
      <w:pPr>
        <w:numPr>
          <w:ilvl w:val="0"/>
          <w:numId w:val="1002"/>
        </w:numPr>
        <w:pStyle w:val="Compact"/>
      </w:pPr>
      <w:r>
        <w:rPr>
          <w:bCs/>
          <w:b/>
        </w:rPr>
        <w:t xml:space="preserve">Confidentiality:</w:t>
      </w:r>
      <w:r>
        <w:t xml:space="preserve"> </w:t>
      </w:r>
      <w:r>
        <w:t xml:space="preserve">The</w:t>
      </w:r>
      <w:r>
        <w:t xml:space="preserve"> </w:t>
      </w:r>
      <w:r>
        <w:t xml:space="preserve">Auditor</w:t>
      </w:r>
      <w:r>
        <w:t xml:space="preserve"> </w:t>
      </w:r>
      <w:r>
        <w:t xml:space="preserve">and all team members shall adhere to strict confidentiality obligations in accordance with the Israeli Privacy Protection Law, 5741-1981, and the professional code of ethics of the ICPA.</w:t>
      </w:r>
    </w:p>
    <w:p>
      <w:pPr>
        <w:numPr>
          <w:ilvl w:val="0"/>
          <w:numId w:val="1002"/>
        </w:numPr>
        <w:pStyle w:val="Compact"/>
      </w:pPr>
      <w:r>
        <w:rPr>
          <w:bCs/>
          <w:b/>
        </w:rPr>
        <w:t xml:space="preserve">Liability:</w:t>
      </w:r>
      <w:r>
        <w:t xml:space="preserve"> </w:t>
      </w:r>
      <w:r>
        <w:t xml:space="preserve">The</w:t>
      </w:r>
      <w:r>
        <w:t xml:space="preserve"> </w:t>
      </w:r>
      <w:r>
        <w:t xml:space="preserve">Auditor</w:t>
      </w:r>
      <w:r>
        <w:t xml:space="preserve">'s liability under this engagement is limited to the total fees stated in this</w:t>
      </w:r>
      <w:r>
        <w:t xml:space="preserve"> </w:t>
      </w:r>
      <w:r>
        <w:t xml:space="preserve">Quotation Estimate</w:t>
      </w:r>
      <w:r>
        <w:t xml:space="preserve">, in accordance with the Israeli Companies Law and the terms of the professional indemnity insurance policy held by the firm.</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the resulting engagement shall be governed by and construed in accordance with the laws of the State of Israel. Any disputes shall be subject to the exclusive jurisdiction of the courts in Tel Aviv, Israel.</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regulatory suspensions affecting operations in Israel Tel Aviv.</w:t>
      </w:r>
    </w:p>
    <w:p>
      <w:pPr>
        <w:numPr>
          <w:ilvl w:val="0"/>
          <w:numId w:val="1002"/>
        </w:numPr>
        <w:pStyle w:val="Compact"/>
      </w:pPr>
      <w:r>
        <w:rPr>
          <w:bCs/>
          <w:b/>
        </w:rPr>
        <w:t xml:space="preserve">Independence:</w:t>
      </w:r>
      <w:r>
        <w:t xml:space="preserve"> </w:t>
      </w:r>
      <w:r>
        <w:t xml:space="preserve">The</w:t>
      </w:r>
      <w:r>
        <w:t xml:space="preserve"> </w:t>
      </w:r>
      <w:r>
        <w:t xml:space="preserve">Auditor</w:t>
      </w:r>
      <w:r>
        <w:t xml:space="preserve"> </w:t>
      </w:r>
      <w:r>
        <w:t xml:space="preserve">confirms that, at the time of this</w:t>
      </w:r>
      <w:r>
        <w:t xml:space="preserve"> </w:t>
      </w:r>
      <w:r>
        <w:t xml:space="preserve">Quotation Estimate</w:t>
      </w:r>
      <w:r>
        <w:t xml:space="preserve">, no conflict of interest exists and the firm maintains full independence as required by the Israeli Institute of Certified Public Accountants.</w:t>
      </w:r>
    </w:p>
    <w:bookmarkEnd w:id="26"/>
    <w:bookmarkStart w:id="29"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Auditor</w:t>
      </w:r>
      <w:r>
        <w:t xml:space="preserve"> </w:t>
      </w:r>
      <w:r>
        <w:t xml:space="preserve">services in Israel Tel Aviv and agrees to the scope, fees, and terms set forth herein. The engagement shall commence upon receipt of the signed engagement letter and the initial payment installment.</w:t>
      </w:r>
    </w:p>
    <w:bookmarkStart w:id="27" w:name="X5f4491f6b9908e1553af8532172bf51780fd890"/>
    <w:p>
      <w:pPr>
        <w:pStyle w:val="Heading4"/>
      </w:pPr>
      <w:r>
        <w:t xml:space="preserve">For Levantine Audit &amp; Assurance Group Ltd. (Auditor)</w:t>
      </w:r>
    </w:p>
    <w:p>
      <w:pPr>
        <w:pStyle w:val="FirstParagraph"/>
      </w:pPr>
      <w:r>
        <w:t xml:space="preserve">Name:</w:t>
      </w:r>
      <w:r>
        <w:t xml:space="preserve"> </w:t>
      </w:r>
      <w:r>
        <w:rPr>
          <w:bCs/>
          <w:b/>
        </w:rPr>
        <w:t xml:space="preserve">Yossi Ben-David, CPA</w:t>
      </w:r>
      <w:r>
        <w:br/>
      </w:r>
      <w:r>
        <w:t xml:space="preserve">Title: Engagement Partner</w:t>
      </w:r>
      <w:r>
        <w:br/>
      </w:r>
      <w:r>
        <w:t xml:space="preserve">ICPA License: 104582</w:t>
      </w:r>
    </w:p>
    <w:p>
      <w:pPr>
        <w:pStyle w:val="BodyText"/>
      </w:pPr>
      <w:r>
        <w:t xml:space="preserve">Signature &amp; Date</w:t>
      </w:r>
    </w:p>
    <w:bookmarkEnd w:id="27"/>
    <w:bookmarkStart w:id="28" w:name="for-the-client"/>
    <w:p>
      <w:pPr>
        <w:pStyle w:val="Heading4"/>
      </w:pPr>
      <w:r>
        <w:t xml:space="preserve">For the Client</w:t>
      </w:r>
    </w:p>
    <w:p>
      <w:pPr>
        <w:pStyle w:val="FirstParagraph"/>
      </w:pPr>
      <w:r>
        <w:t xml:space="preserve">Name: _________________________</w:t>
      </w:r>
      <w:r>
        <w:br/>
      </w:r>
      <w:r>
        <w:t xml:space="preserve">Title: _________________________</w:t>
      </w:r>
      <w:r>
        <w:br/>
      </w:r>
      <w:r>
        <w:t xml:space="preserve">Company: _________________________</w:t>
      </w:r>
    </w:p>
    <w:p>
      <w:pPr>
        <w:pStyle w:val="BodyText"/>
      </w:pPr>
      <w:r>
        <w:t xml:space="preserve">Signature &amp; Date</w:t>
      </w:r>
    </w:p>
    <w:bookmarkEnd w:id="28"/>
    <w:p>
      <w:pPr>
        <w:pStyle w:val="BodyText"/>
      </w:pPr>
      <w:r>
        <w:rPr>
          <w:bCs/>
          <w:b/>
        </w:rPr>
        <w:t xml:space="preserve">Levantine Audit &amp; Assurance Group Ltd.</w:t>
      </w:r>
      <w:r>
        <w:t xml:space="preserve"> </w:t>
      </w:r>
      <w:r>
        <w:t xml:space="preserve">— 42 Dizengoff Street, Tel Aviv, Israel 6310000</w:t>
      </w:r>
      <w:r>
        <w:br/>
      </w:r>
      <w:r>
        <w:t xml:space="preserve">This Quotation Estimate is a confidential document intended solely for the named client. Unauthorized reproduction or distribution is prohibited under Israeli law.</w:t>
      </w:r>
      <w:r>
        <w:br/>
      </w:r>
      <w:r>
        <w:t xml:space="preserve">Document Ref: QTE-2025-TLV-0847 | Generated: 15 June 2025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Israel Tel Aviv</dc:title>
  <dc:creator/>
  <dc:language>en</dc:language>
  <cp:keywords/>
  <dcterms:created xsi:type="dcterms:W3CDTF">2026-10-10T05:47:59Z</dcterms:created>
  <dcterms:modified xsi:type="dcterms:W3CDTF">2026-10-10T05:47:59Z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