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rPr>
          <w:bCs/>
          <w:b/>
        </w:rPr>
        <w:t xml:space="preserve">Almaty Audit &amp; Advisory Partners LLP</w:t>
      </w:r>
    </w:p>
    <w:p>
      <w:pPr>
        <w:pStyle w:val="BodyText"/>
      </w:pPr>
      <w:r>
        <w:t xml:space="preserve">128 Abay Avenue, Office 412, Almaty, 050040, Kazakhstan</w:t>
      </w:r>
    </w:p>
    <w:p>
      <w:pPr>
        <w:pStyle w:val="BodyText"/>
      </w:pPr>
      <w:r>
        <w:t xml:space="preserve">Tel: +7 (727) 312-45-67 | Email: info@almatyaudit.kz</w:t>
      </w:r>
    </w:p>
    <w:p>
      <w:pPr>
        <w:pStyle w:val="BodyText"/>
      </w:pPr>
      <w:r>
        <w:t xml:space="preserve">Registration No. 0500401234567 | BIC: KZFTKZKA</w:t>
      </w:r>
    </w:p>
    <w:bookmarkEnd w:id="20"/>
    <w:p>
      <w:pPr>
        <w:pStyle w:val="BodyText"/>
      </w:pPr>
      <w:r>
        <w:rPr>
          <w:bCs/>
          <w:b/>
        </w:rPr>
        <w:t xml:space="preserve">Quotation Estimate No.:</w:t>
      </w:r>
      <w:r>
        <w:t xml:space="preserve"> </w:t>
      </w:r>
      <w:r>
        <w:t xml:space="preserve">QTE-2025-ALM-0847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t xml:space="preserve"> </w:t>
      </w:r>
      <w:r>
        <w:t xml:space="preserve">Tengeri Manufacturing JSC</w:t>
      </w:r>
      <w:r>
        <w:br/>
      </w:r>
      <w:r>
        <w:rPr>
          <w:bCs/>
          <w:b/>
        </w:rPr>
        <w:t xml:space="preserve">Address:</w:t>
      </w:r>
      <w:r>
        <w:t xml:space="preserve"> </w:t>
      </w:r>
      <w:r>
        <w:t xml:space="preserve">45 Dostyk Avenue, Almaty, 050000, Kazakhstan</w:t>
      </w:r>
      <w:r>
        <w:br/>
      </w:r>
      <w:r>
        <w:rPr>
          <w:bCs/>
          <w:b/>
        </w:rPr>
        <w:t xml:space="preserve">Contact:</w:t>
      </w:r>
      <w:r>
        <w:t xml:space="preserve"> </w:t>
      </w:r>
      <w:r>
        <w:t xml:space="preserve">Mr. Aibek Nurlanov, CFO</w:t>
      </w:r>
      <w:r>
        <w:br/>
      </w:r>
      <w:r>
        <w:rPr>
          <w:bCs/>
          <w:b/>
        </w:rPr>
        <w:t xml:space="preserve">Email:</w:t>
      </w:r>
      <w:r>
        <w:t xml:space="preserve"> </w:t>
      </w:r>
      <w:r>
        <w:t xml:space="preserve">a.nurlanov@tengerimfg.kz</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Almaty Audit &amp; Advisory Partners LLP (hereinafter referred to as "the Auditor") in response to the formal request submitted by Tengeri Manufacturing JSC for comprehensive audit and assurance services to be performed in Kazakhstan Almaty. The Auditor has carefully assessed the operational scope, regulatory requirements under the Republic of Kazakhstan's Accounting and Financial Reporting Law, and the specific needs of the client to prepare this detailed Quotation Estimate. All services outlined herein will be executed by a team of certified public Accountants and Auditor specialists based in our Kazakhstan Almaty office, ensuring full compliance with the National Audit Standards of Kazakhstan and International Standards on Auditing (ISA) as adopted locally.</w:t>
      </w:r>
    </w:p>
    <w:bookmarkEnd w:id="21"/>
    <w:bookmarkStart w:id="22" w:name="X52db62369ae6972acd7213ed3c1b800e6d85e0a"/>
    <w:p>
      <w:pPr>
        <w:pStyle w:val="Heading2"/>
      </w:pPr>
      <w:r>
        <w:t xml:space="preserve">2. Detailed Breakdown of Auditor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(KZT)</w:t>
            </w:r>
          </w:p>
        </w:tc>
        <w:tc>
          <w:tcPr/>
          <w:p>
            <w:pPr>
              <w:pStyle w:val="Compact"/>
              <w:jc w:val="left"/>
            </w:pPr>
            <w:r>
              <w:t xml:space="preserve">Quantity</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Annual Financial Statement Audit – Full scope review of balance sheet, income statement, cash flow, and notes to accounts for fiscal year 2024</w:t>
            </w:r>
          </w:p>
        </w:tc>
        <w:tc>
          <w:tcPr/>
          <w:p>
            <w:pPr>
              <w:pStyle w:val="Compact"/>
              <w:jc w:val="left"/>
            </w:pPr>
            <w:r>
              <w:t xml:space="preserve">45 working days</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8,325,000</w:t>
            </w:r>
          </w:p>
        </w:tc>
      </w:tr>
      <w:tr>
        <w:tc>
          <w:tcPr/>
          <w:p>
            <w:pPr>
              <w:pStyle w:val="Compact"/>
              <w:jc w:val="left"/>
            </w:pPr>
            <w:r>
              <w:t xml:space="preserve">2</w:t>
            </w:r>
          </w:p>
        </w:tc>
        <w:tc>
          <w:tcPr/>
          <w:p>
            <w:pPr>
              <w:pStyle w:val="Compact"/>
              <w:jc w:val="left"/>
            </w:pPr>
            <w:r>
              <w:t xml:space="preserve">Internal Control Assessment and Risk Evaluation – Review of internal audit processes, segregation of duties, and IT general controls at the Kazakhstan Almaty headquarters</w:t>
            </w:r>
          </w:p>
        </w:tc>
        <w:tc>
          <w:tcPr/>
          <w:p>
            <w:pPr>
              <w:pStyle w:val="Compact"/>
              <w:jc w:val="left"/>
            </w:pPr>
            <w:r>
              <w:t xml:space="preserve">20 working days</w:t>
            </w:r>
          </w:p>
        </w:tc>
        <w:tc>
          <w:tcPr/>
          <w:p>
            <w:pPr>
              <w:pStyle w:val="Compact"/>
              <w:jc w:val="left"/>
            </w:pPr>
            <w:r>
              <w:t xml:space="preserve">160,000</w:t>
            </w:r>
          </w:p>
        </w:tc>
        <w:tc>
          <w:tcPr/>
          <w:p>
            <w:pPr>
              <w:pStyle w:val="Compact"/>
              <w:jc w:val="left"/>
            </w:pPr>
            <w:r>
              <w:t xml:space="preserve">1</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Tax Compliance Audit – Verification of corporate income tax, VAT, social security contributions, and local tax obligations in accordance with the Tax Code of the Republic of Kazakhstan</w:t>
            </w:r>
          </w:p>
        </w:tc>
        <w:tc>
          <w:tcPr/>
          <w:p>
            <w:pPr>
              <w:pStyle w:val="Compact"/>
              <w:jc w:val="left"/>
            </w:pPr>
            <w:r>
              <w:t xml:space="preserve">15 working days</w:t>
            </w:r>
          </w:p>
        </w:tc>
        <w:tc>
          <w:tcPr/>
          <w:p>
            <w:pPr>
              <w:pStyle w:val="Compact"/>
              <w:jc w:val="left"/>
            </w:pPr>
            <w:r>
              <w:t xml:space="preserve">145,000</w:t>
            </w:r>
          </w:p>
        </w:tc>
        <w:tc>
          <w:tcPr/>
          <w:p>
            <w:pPr>
              <w:pStyle w:val="Compact"/>
              <w:jc w:val="left"/>
            </w:pPr>
            <w:r>
              <w:t xml:space="preserve">1</w:t>
            </w:r>
          </w:p>
        </w:tc>
        <w:tc>
          <w:tcPr/>
          <w:p>
            <w:pPr>
              <w:pStyle w:val="Compact"/>
              <w:jc w:val="left"/>
            </w:pPr>
            <w:r>
              <w:t xml:space="preserve">2,175,000</w:t>
            </w:r>
          </w:p>
        </w:tc>
      </w:tr>
      <w:tr>
        <w:tc>
          <w:tcPr/>
          <w:p>
            <w:pPr>
              <w:pStyle w:val="Compact"/>
              <w:jc w:val="left"/>
            </w:pPr>
            <w:r>
              <w:t xml:space="preserve">4</w:t>
            </w:r>
          </w:p>
        </w:tc>
        <w:tc>
          <w:tcPr/>
          <w:p>
            <w:pPr>
              <w:pStyle w:val="Compact"/>
              <w:jc w:val="left"/>
            </w:pPr>
            <w:r>
              <w:t xml:space="preserve">Forensic Audit and Fraud Investigation – Targeted examination of procurement records, vendor payments, and related-party transactions</w:t>
            </w:r>
          </w:p>
        </w:tc>
        <w:tc>
          <w:tcPr/>
          <w:p>
            <w:pPr>
              <w:pStyle w:val="Compact"/>
              <w:jc w:val="left"/>
            </w:pPr>
            <w:r>
              <w:t xml:space="preserve">10 working days</w:t>
            </w:r>
          </w:p>
        </w:tc>
        <w:tc>
          <w:tcPr/>
          <w:p>
            <w:pPr>
              <w:pStyle w:val="Compact"/>
              <w:jc w:val="left"/>
            </w:pPr>
            <w:r>
              <w:t xml:space="preserve">220,000</w:t>
            </w:r>
          </w:p>
        </w:tc>
        <w:tc>
          <w:tcPr/>
          <w:p>
            <w:pPr>
              <w:pStyle w:val="Compact"/>
              <w:jc w:val="left"/>
            </w:pPr>
            <w:r>
              <w:t xml:space="preserve">1</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Management Letter and Advisory Report – Written recommendations for process improvements, governance enhancements, and strategic financial planning</w:t>
            </w:r>
          </w:p>
        </w:tc>
        <w:tc>
          <w:tcPr/>
          <w:p>
            <w:pPr>
              <w:pStyle w:val="Compact"/>
              <w:jc w:val="left"/>
            </w:pPr>
            <w:r>
              <w:t xml:space="preserve">5 working days</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On-site Fieldwork and Travel within Kazakhstan Almaty – Includes transportation, local accommodation for Auditor team members, and document retrieval</w:t>
            </w:r>
          </w:p>
        </w:tc>
        <w:tc>
          <w:tcPr/>
          <w:p>
            <w:pPr>
              <w:pStyle w:val="Compact"/>
              <w:jc w:val="left"/>
            </w:pPr>
            <w:r>
              <w:t xml:space="preserve">30 days</w:t>
            </w:r>
          </w:p>
        </w:tc>
        <w:tc>
          <w:tcPr/>
          <w:p>
            <w:pPr>
              <w:pStyle w:val="Compact"/>
              <w:jc w:val="left"/>
            </w:pPr>
            <w:r>
              <w:t xml:space="preserve">85,000</w:t>
            </w:r>
          </w:p>
        </w:tc>
        <w:tc>
          <w:tcPr/>
          <w:p>
            <w:pPr>
              <w:pStyle w:val="Compact"/>
              <w:jc w:val="left"/>
            </w:pPr>
            <w:r>
              <w:t xml:space="preserve">1</w:t>
            </w:r>
          </w:p>
        </w:tc>
        <w:tc>
          <w:tcPr/>
          <w:p>
            <w:pPr>
              <w:pStyle w:val="Compact"/>
              <w:jc w:val="left"/>
            </w:pPr>
            <w:r>
              <w:t xml:space="preserve">2,550,000</w:t>
            </w:r>
          </w:p>
        </w:tc>
      </w:tr>
      <w:tr>
        <w:tc>
          <w:tcPr/>
          <w:p>
            <w:pPr>
              <w:pStyle w:val="Compact"/>
              <w:jc w:val="left"/>
            </w:pPr>
            <w:r>
              <w:t xml:space="preserve">7</w:t>
            </w:r>
          </w:p>
        </w:tc>
        <w:tc>
          <w:tcPr/>
          <w:p>
            <w:pPr>
              <w:pStyle w:val="Compact"/>
              <w:jc w:val="left"/>
            </w:pPr>
            <w:r>
              <w:t xml:space="preserve">Regulatory Filing and Reporting – Preparation and submission of audit reports to the State Revenue Committee, National Bank of Kazakhstan, and relevant industry regulators</w:t>
            </w:r>
          </w:p>
        </w:tc>
        <w:tc>
          <w:tcPr/>
          <w:p>
            <w:pPr>
              <w:pStyle w:val="Compact"/>
              <w:jc w:val="left"/>
            </w:pPr>
            <w:r>
              <w:t xml:space="preserve">5 working days</w:t>
            </w:r>
          </w:p>
        </w:tc>
        <w:tc>
          <w:tcPr/>
          <w:p>
            <w:pPr>
              <w:pStyle w:val="Compact"/>
              <w:jc w:val="left"/>
            </w:pPr>
            <w:r>
              <w:t xml:space="preserve">95,000</w:t>
            </w:r>
          </w:p>
        </w:tc>
        <w:tc>
          <w:tcPr/>
          <w:p>
            <w:pPr>
              <w:pStyle w:val="Compact"/>
              <w:jc w:val="left"/>
            </w:pPr>
            <w:r>
              <w:t xml:space="preserve">1</w:t>
            </w:r>
          </w:p>
        </w:tc>
        <w:tc>
          <w:tcPr/>
          <w:p>
            <w:pPr>
              <w:pStyle w:val="Compact"/>
              <w:jc w:val="left"/>
            </w:pPr>
            <w:r>
              <w:t xml:space="preserve">475,000</w:t>
            </w:r>
          </w:p>
        </w:tc>
      </w:tr>
      <w:tr>
        <w:tc>
          <w:tcPr>
            <w:gridSpan w:val="5"/>
          </w:tcPr>
          <w:p>
            <w:pPr>
              <w:pStyle w:val="Compact"/>
              <w:jc w:val="right"/>
            </w:pPr>
            <w:r>
              <w:t xml:space="preserve">SUBTOTAL</w:t>
            </w:r>
          </w:p>
        </w:tc>
        <w:tc>
          <w:tcPr/>
          <w:p>
            <w:pPr>
              <w:pStyle w:val="Compact"/>
              <w:jc w:val="left"/>
            </w:pPr>
            <w:r>
              <w:t xml:space="preserve">19,525,000</w:t>
            </w:r>
          </w:p>
        </w:tc>
      </w:tr>
      <w:tr>
        <w:tc>
          <w:tcPr>
            <w:gridSpan w:val="5"/>
          </w:tcPr>
          <w:p>
            <w:pPr>
              <w:pStyle w:val="Compact"/>
              <w:jc w:val="right"/>
            </w:pPr>
            <w:r>
              <w:t xml:space="preserve">VAT (12%)</w:t>
            </w:r>
          </w:p>
        </w:tc>
        <w:tc>
          <w:tcPr/>
          <w:p>
            <w:pPr>
              <w:pStyle w:val="Compact"/>
              <w:jc w:val="left"/>
            </w:pPr>
            <w:r>
              <w:t xml:space="preserve">2,343,000</w:t>
            </w:r>
          </w:p>
        </w:tc>
      </w:tr>
      <w:tr>
        <w:tc>
          <w:tcPr>
            <w:gridSpan w:val="5"/>
          </w:tcPr>
          <w:p>
            <w:pPr>
              <w:pStyle w:val="Compact"/>
              <w:jc w:val="right"/>
            </w:pPr>
            <w:r>
              <w:t xml:space="preserve">TOTAL AMOUNT (KZT)</w:t>
            </w:r>
          </w:p>
        </w:tc>
        <w:tc>
          <w:tcPr/>
          <w:p>
            <w:pPr>
              <w:pStyle w:val="Compact"/>
              <w:jc w:val="left"/>
            </w:pPr>
            <w:r>
              <w:t xml:space="preserve">21,868,000</w:t>
            </w:r>
          </w:p>
        </w:tc>
      </w:tr>
    </w:tbl>
    <w:bookmarkEnd w:id="22"/>
    <w:bookmarkStart w:id="23" w:name="auditor-team-composition"/>
    <w:p>
      <w:pPr>
        <w:pStyle w:val="Heading2"/>
      </w:pPr>
      <w:r>
        <w:t xml:space="preserve">3. Auditor Team Composition</w:t>
      </w:r>
    </w:p>
    <w:p>
      <w:pPr>
        <w:pStyle w:val="FirstParagraph"/>
      </w:pPr>
      <w:r>
        <w:t xml:space="preserve">The Auditor engagement will be led by a Senior Partner with over 18 years of experience in auditing manufacturing and industrial enterprises in Kazakhstan Almaty. The team will comprise a total of seven (7) professionals, including two (2) Certified Public Accountants (CPA), three (3) Senior Auditor associates, one (1) Tax Specialist, and one (1) IT Audit Analyst. All team members hold valid licenses issued by the National Audit Chamber of the Republic of Kazakhstan and are registered with the Almaty Regional Chamber of Accountants.</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Any acceptance beyond this period requires written reconfirmation from the Auditor.</w:t>
      </w:r>
    </w:p>
    <w:p>
      <w:pPr>
        <w:numPr>
          <w:ilvl w:val="0"/>
          <w:numId w:val="1001"/>
        </w:numPr>
        <w:pStyle w:val="Compact"/>
      </w:pPr>
      <w:r>
        <w:rPr>
          <w:bCs/>
          <w:b/>
        </w:rPr>
        <w:t xml:space="preserve">Payment Terms:</w:t>
      </w:r>
      <w:r>
        <w:t xml:space="preserve"> </w:t>
      </w:r>
      <w:r>
        <w:t xml:space="preserve">40% advance payment upon signing the engagement letter; 40% upon completion of fieldwork; 20% upon delivery of the final audit report. All payments shall be made in tenge (KZT) via bank transfer to the Auditor's designated account in Almaty, Kazakhstan.</w:t>
      </w:r>
    </w:p>
    <w:p>
      <w:pPr>
        <w:numPr>
          <w:ilvl w:val="0"/>
          <w:numId w:val="1001"/>
        </w:numPr>
        <w:pStyle w:val="Compact"/>
      </w:pPr>
      <w:r>
        <w:rPr>
          <w:bCs/>
          <w:b/>
        </w:rPr>
        <w:t xml:space="preserve">Confidentiality:</w:t>
      </w:r>
      <w:r>
        <w:t xml:space="preserve"> </w:t>
      </w:r>
      <w:r>
        <w:t xml:space="preserve">The Auditor shall maintain strict confidentiality of all financial data, trade secrets, and proprietary information of the client in accordance with the Law of the Republic of Kazakhstan on Commercial Secrets.</w:t>
      </w:r>
    </w:p>
    <w:p>
      <w:pPr>
        <w:numPr>
          <w:ilvl w:val="0"/>
          <w:numId w:val="1001"/>
        </w:numPr>
        <w:pStyle w:val="Compact"/>
      </w:pPr>
      <w:r>
        <w:rPr>
          <w:bCs/>
          <w:b/>
        </w:rPr>
        <w:t xml:space="preserve">Independence:</w:t>
      </w:r>
      <w:r>
        <w:t xml:space="preserve"> </w:t>
      </w:r>
      <w:r>
        <w:t xml:space="preserve">The Auditor confirms that no conflict of interest exists and that full professional independence will be maintained throughout the engagement, as required by the Code of Ethics for Professional Accountants in Kazakhstan.</w:t>
      </w:r>
    </w:p>
    <w:p>
      <w:pPr>
        <w:numPr>
          <w:ilvl w:val="0"/>
          <w:numId w:val="1001"/>
        </w:numPr>
        <w:pStyle w:val="Compact"/>
      </w:pPr>
      <w:r>
        <w:rPr>
          <w:bCs/>
          <w:b/>
        </w:rPr>
        <w:t xml:space="preserve">Deliverables:</w:t>
      </w:r>
      <w:r>
        <w:t xml:space="preserve"> </w:t>
      </w:r>
      <w:r>
        <w:t xml:space="preserve">The final deliverable package will include the signed audit opinion, management letter, tax compliance certificate, and a digital copy of all working papers stored at the Auditor's Kazakhstan Almaty office for a minimum retention period of seven (7) years.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changes in Kazakhstan's regulatory framework.</w:t>
      </w:r>
    </w:p>
    <w:p>
      <w:pPr>
        <w:numPr>
          <w:ilvl w:val="0"/>
          <w:numId w:val="1001"/>
        </w:numPr>
        <w:pStyle w:val="Compact"/>
      </w:pPr>
      <w:r>
        <w:rPr>
          <w:bCs/>
          <w:b/>
        </w:rPr>
        <w:t xml:space="preserve">Governing Law:</w:t>
      </w:r>
      <w:r>
        <w:t xml:space="preserve"> </w:t>
      </w:r>
      <w:r>
        <w:t xml:space="preserve">This Quotation Estimate and any resulting engagement shall be governed by and interpreted in accordance with the civil and commercial laws of the Republic of Kazakhstan. Disputes shall be resolved by the Arbitration Court of Almaty City.</w:t>
      </w:r>
    </w:p>
    <w:p>
      <w:pPr>
        <w:pStyle w:val="FirstParagraph"/>
      </w:pPr>
      <w:r>
        <w:rPr>
          <w:bCs/>
          <w:b/>
        </w:rPr>
        <w:t xml:space="preserve">Important Note:</w:t>
      </w:r>
      <w:r>
        <w:t xml:space="preserve"> </w:t>
      </w:r>
      <w:r>
        <w:t xml:space="preserve">This Quotation Estimate is a non-binding document prepared for the client's internal budgeting and approval purposes. A formal, legally binding engagement letter will be issued upon the client's written acceptance of this Quotation Estimate. The Auditor reserves the right to adjust the scope and corresponding fees should the client request additional procedures beyond those described herein. All rates are quoted in Kazakhstani Tenge (KZT) and are inclusive of the Auditor's professional liability insurance coverage.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Auditor services in Kazakhstan Almaty and confirms that the scope, pricing, and terms presented are acceptable. The Auditor confirms readiness to commence the engagement upon receipt of the advance payment and execution of the formal engagement letter.</w:t>
      </w:r>
    </w:p>
    <w:p>
      <w:pPr>
        <w:pStyle w:val="BodyText"/>
      </w:pPr>
      <w:r>
        <w:rPr>
          <w:bCs/>
          <w:b/>
        </w:rPr>
        <w:t xml:space="preserve">For and on behalf of the Auditor:</w:t>
      </w:r>
    </w:p>
    <w:p>
      <w:pPr>
        <w:pStyle w:val="BodyText"/>
      </w:pPr>
      <w:r>
        <w:t xml:space="preserve">Almaty Audit &amp; Advisory Partners LLP</w:t>
      </w:r>
    </w:p>
    <w:p>
      <w:pPr>
        <w:pStyle w:val="BodyText"/>
      </w:pPr>
      <w:r>
        <w:t xml:space="preserve">Name: Dr. Serik Abildayev, CPA</w:t>
      </w:r>
      <w:r>
        <w:br/>
      </w:r>
      <w:r>
        <w:t xml:space="preserve">Title: Managing Partner</w:t>
      </w:r>
      <w:r>
        <w:br/>
      </w:r>
      <w:r>
        <w:t xml:space="preserve">Signature &amp; Date: _________________________</w:t>
      </w:r>
    </w:p>
    <w:p>
      <w:pPr>
        <w:pStyle w:val="BodyText"/>
      </w:pPr>
      <w:r>
        <w:rPr>
          <w:bCs/>
          <w:b/>
        </w:rPr>
        <w:t xml:space="preserve">For and on behalf of the Client:</w:t>
      </w:r>
    </w:p>
    <w:p>
      <w:pPr>
        <w:pStyle w:val="BodyText"/>
      </w:pPr>
      <w:r>
        <w:t xml:space="preserve">Tengeri Manufacturing JSC</w:t>
      </w:r>
    </w:p>
    <w:p>
      <w:pPr>
        <w:pStyle w:val="BodyText"/>
      </w:pPr>
      <w:r>
        <w:t xml:space="preserve">Name: Mr. Aibek Nurlanov</w:t>
      </w:r>
      <w:r>
        <w:br/>
      </w:r>
      <w:r>
        <w:t xml:space="preserve">Title: Chief Financial Officer</w:t>
      </w:r>
      <w:r>
        <w:br/>
      </w:r>
      <w:r>
        <w:t xml:space="preserve">Signature &amp; Date: _________________________</w:t>
      </w:r>
    </w:p>
    <w:p>
      <w:pPr>
        <w:pStyle w:val="BodyText"/>
      </w:pPr>
      <w:r>
        <w:t xml:space="preserve">Quotation Estimate No. QTE-2025-ALM-0847 | Almaty Audit &amp; Advisory Partners LLP | Kazakhstan Almaty</w:t>
      </w:r>
    </w:p>
    <w:p>
      <w:pPr>
        <w:pStyle w:val="BodyText"/>
      </w:pPr>
      <w:r>
        <w:t xml:space="preserve">This document is the property of the issuing Auditor and is intended solely for the named client. Unauthorized reproduction or distribution is prohibited.</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Kazakhstan Almaty</dc:title>
  <dc:creator/>
  <dc:language>en</dc:language>
  <cp:keywords/>
  <dcterms:created xsi:type="dcterms:W3CDTF">2026-10-10T03:10:56Z</dcterms:created>
  <dcterms:modified xsi:type="dcterms:W3CDTF">2026-10-10T03:10:56Z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