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X2645953cbb0fb564a1ca5823c6a80e65208614f"/>
    <w:p>
      <w:pPr>
        <w:pStyle w:val="Heading1"/>
      </w:pPr>
      <w:r>
        <w:t xml:space="preserve">Kenya Nairobi Audit &amp; Advisory Services Ltd.</w:t>
      </w:r>
    </w:p>
    <w:p>
      <w:pPr>
        <w:pStyle w:val="FirstParagraph"/>
      </w:pPr>
      <w:r>
        <w:t xml:space="preserve">P.O. Box 4521, Nairobi, Kenya | Tel: +254 700 123 456 | Email: info@kn-audit.co.ke</w:t>
      </w:r>
    </w:p>
    <w:p>
      <w:pPr>
        <w:pStyle w:val="BodyText"/>
      </w:pPr>
      <w:r>
        <w:t xml:space="preserve">Physical Address: 4th Floor, Kenyatta Avenue, Nairobi CBD, Kenya</w:t>
      </w:r>
    </w:p>
    <w:p>
      <w:pPr>
        <w:pStyle w:val="BodyText"/>
      </w:pPr>
      <w:r>
        <w:t xml:space="preserve">PRC Registration No: 12345 | KASB Member Firm</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KN-AUD-2025-00847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J. Mwangi, Senior Auditor</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[Street Address], Nairobi, Kenya</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bookmarkEnd w:id="22"/>
    <w:p>
      <w:pPr>
        <w:pStyle w:val="BodyText"/>
      </w:pPr>
      <w:r>
        <w:t xml:space="preserve">Dear Sir/Madam,</w:t>
      </w:r>
    </w:p>
    <w:p>
      <w:pPr>
        <w:pStyle w:val="BodyText"/>
      </w:pPr>
      <w:r>
        <w:t xml:space="preserve">Thank you for your enquiry regarding professional audit services. This</w:t>
      </w:r>
      <w:r>
        <w:t xml:space="preserve"> </w:t>
      </w:r>
      <w:r>
        <w:t xml:space="preserve">Quotation Estimate</w:t>
      </w:r>
      <w:r>
        <w:t xml:space="preserve"> </w:t>
      </w:r>
      <w:r>
        <w:t xml:space="preserve">has been prepared by our team of qualified</w:t>
      </w:r>
      <w:r>
        <w:t xml:space="preserve"> </w:t>
      </w:r>
      <w:r>
        <w:t xml:space="preserve">Auditor</w:t>
      </w:r>
      <w:r>
        <w:t xml:space="preserve"> </w:t>
      </w:r>
      <w:r>
        <w:t xml:space="preserve">professionals based in</w:t>
      </w:r>
      <w:r>
        <w:t xml:space="preserve"> </w:t>
      </w:r>
      <w:r>
        <w:t xml:space="preserve">Kenya Nairobi</w:t>
      </w:r>
      <w:r>
        <w:t xml:space="preserve"> </w:t>
      </w:r>
      <w:r>
        <w:t xml:space="preserve">to provide a comprehensive and transparent breakdown of the costs associated with the engagement of our</w:t>
      </w:r>
      <w:r>
        <w:t xml:space="preserve"> </w:t>
      </w:r>
      <w:r>
        <w:t xml:space="preserve">Auditor</w:t>
      </w:r>
      <w:r>
        <w:t xml:space="preserve"> </w:t>
      </w:r>
      <w:r>
        <w:t xml:space="preserve">services for your organisation. We are committed to delivering the highest standards of audit quality in accordance with the International Standards on Auditing (ISA) and the requirements of the Capital Markets Authority (CMA) of Kenya.</w:t>
      </w:r>
    </w:p>
    <w:bookmarkStart w:id="23" w:name="scope-of-auditor-services"/>
    <w:p>
      <w:pPr>
        <w:pStyle w:val="Heading2"/>
      </w:pPr>
      <w:r>
        <w:t xml:space="preserve">Scope of Auditor Services</w:t>
      </w:r>
    </w:p>
    <w:p>
      <w:pPr>
        <w:pStyle w:val="FirstParagraph"/>
      </w:pPr>
      <w:r>
        <w:t xml:space="preserve">This</w:t>
      </w:r>
      <w:r>
        <w:t xml:space="preserve"> </w:t>
      </w:r>
      <w:r>
        <w:t xml:space="preserve">Quotation Estimate</w:t>
      </w:r>
      <w:r>
        <w:t xml:space="preserve"> </w:t>
      </w:r>
      <w:r>
        <w:t xml:space="preserve">covers the full scope of statutory and internal audit services to be performed by our</w:t>
      </w:r>
      <w:r>
        <w:t xml:space="preserve"> </w:t>
      </w:r>
      <w:r>
        <w:t xml:space="preserve">Auditor</w:t>
      </w:r>
      <w:r>
        <w:t xml:space="preserve"> </w:t>
      </w:r>
      <w:r>
        <w:t xml:space="preserve">team in</w:t>
      </w:r>
      <w:r>
        <w:t xml:space="preserve"> </w:t>
      </w:r>
      <w:r>
        <w:t xml:space="preserve">Kenya Nairobi</w:t>
      </w:r>
      <w:r>
        <w:t xml:space="preserve">. The engagement includes, but is not limited to, the following deliverables:</w:t>
      </w:r>
    </w:p>
    <w:p>
      <w:pPr>
        <w:numPr>
          <w:ilvl w:val="0"/>
          <w:numId w:val="1001"/>
        </w:numPr>
        <w:pStyle w:val="Compact"/>
      </w:pPr>
      <w:r>
        <w:t xml:space="preserve">Statutory audit of annual financial statements in compliance with IFRS and Kenyan Companies Act (2015).</w:t>
      </w:r>
    </w:p>
    <w:p>
      <w:pPr>
        <w:numPr>
          <w:ilvl w:val="0"/>
          <w:numId w:val="1001"/>
        </w:numPr>
        <w:pStyle w:val="Compact"/>
      </w:pPr>
      <w:r>
        <w:t xml:space="preserve">Internal audit review of operational, financial, and compliance controls across all departments.</w:t>
      </w:r>
    </w:p>
    <w:p>
      <w:pPr>
        <w:numPr>
          <w:ilvl w:val="0"/>
          <w:numId w:val="1001"/>
        </w:numPr>
        <w:pStyle w:val="Compact"/>
      </w:pPr>
      <w:r>
        <w:t xml:space="preserve">Tax compliance audit and VAT reconciliation for the financial year ending 31 December 2025.</w:t>
      </w:r>
    </w:p>
    <w:p>
      <w:pPr>
        <w:numPr>
          <w:ilvl w:val="0"/>
          <w:numId w:val="1001"/>
        </w:numPr>
        <w:pStyle w:val="Compact"/>
      </w:pPr>
      <w:r>
        <w:t xml:space="preserve">Forensic audit support for any identified irregularities or fraud indicators.</w:t>
      </w:r>
    </w:p>
    <w:p>
      <w:pPr>
        <w:numPr>
          <w:ilvl w:val="0"/>
          <w:numId w:val="1001"/>
        </w:numPr>
        <w:pStyle w:val="Compact"/>
      </w:pPr>
      <w:r>
        <w:t xml:space="preserve">Preparation of the Auditor's Report and management letter with recommendations.</w:t>
      </w:r>
    </w:p>
    <w:p>
      <w:pPr>
        <w:numPr>
          <w:ilvl w:val="0"/>
          <w:numId w:val="1001"/>
        </w:numPr>
        <w:pStyle w:val="Compact"/>
      </w:pPr>
      <w:r>
        <w:t xml:space="preserve">Advisory services on internal control improvements and risk management frameworks.</w:t>
      </w:r>
    </w:p>
    <w:bookmarkEnd w:id="23"/>
    <w:bookmarkStart w:id="24" w:name="itemised-cost-breakdown"/>
    <w:p>
      <w:pPr>
        <w:pStyle w:val="Heading2"/>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Auditor Service</w:t>
            </w:r>
          </w:p>
        </w:tc>
        <w:tc>
          <w:tcPr/>
          <w:p>
            <w:pPr>
              <w:pStyle w:val="Compact"/>
              <w:jc w:val="left"/>
            </w:pPr>
            <w:r>
              <w:t xml:space="preserve">Duration</w:t>
            </w:r>
          </w:p>
        </w:tc>
        <w:tc>
          <w:tcPr/>
          <w:p>
            <w:pPr>
              <w:pStyle w:val="Compact"/>
              <w:jc w:val="left"/>
            </w:pPr>
            <w:r>
              <w:t xml:space="preserve">Rate (KES)</w:t>
            </w:r>
          </w:p>
        </w:tc>
        <w:tc>
          <w:tcPr/>
          <w:p>
            <w:pPr>
              <w:pStyle w:val="Compact"/>
              <w:jc w:val="left"/>
            </w:pPr>
            <w:r>
              <w:t xml:space="preserve">Amount (KES)</w:t>
            </w:r>
          </w:p>
        </w:tc>
      </w:tr>
      <w:tr>
        <w:tc>
          <w:tcPr/>
          <w:p>
            <w:pPr>
              <w:pStyle w:val="Compact"/>
              <w:jc w:val="left"/>
            </w:pPr>
            <w:r>
              <w:t xml:space="preserve">1.0</w:t>
            </w:r>
          </w:p>
        </w:tc>
        <w:tc>
          <w:tcPr/>
          <w:p>
            <w:pPr>
              <w:pStyle w:val="Compact"/>
              <w:jc w:val="left"/>
            </w:pPr>
            <w:r>
              <w:t xml:space="preserve">Engagement of Lead Auditor and Audit Team (4 professionals) – Planning and Risk Assessment Phase</w:t>
            </w:r>
          </w:p>
        </w:tc>
        <w:tc>
          <w:tcPr/>
          <w:p>
            <w:pPr>
              <w:pStyle w:val="Compact"/>
              <w:jc w:val="left"/>
            </w:pPr>
            <w:r>
              <w:t xml:space="preserve">2 weeks</w:t>
            </w:r>
          </w:p>
        </w:tc>
        <w:tc>
          <w:tcPr/>
          <w:p>
            <w:pPr>
              <w:pStyle w:val="Compact"/>
              <w:jc w:val="left"/>
            </w:pPr>
            <w:r>
              <w:t xml:space="preserve">18,000/day</w:t>
            </w:r>
          </w:p>
        </w:tc>
        <w:tc>
          <w:tcPr/>
          <w:p>
            <w:pPr>
              <w:pStyle w:val="Compact"/>
              <w:jc w:val="left"/>
            </w:pPr>
            <w:r>
              <w:t xml:space="preserve">1,440,000</w:t>
            </w:r>
          </w:p>
        </w:tc>
      </w:tr>
      <w:tr>
        <w:tc>
          <w:tcPr/>
          <w:p>
            <w:pPr>
              <w:pStyle w:val="Compact"/>
              <w:jc w:val="left"/>
            </w:pPr>
            <w:r>
              <w:t xml:space="preserve">2.0</w:t>
            </w:r>
          </w:p>
        </w:tc>
        <w:tc>
          <w:tcPr/>
          <w:p>
            <w:pPr>
              <w:pStyle w:val="Compact"/>
              <w:jc w:val="left"/>
            </w:pPr>
            <w:r>
              <w:t xml:space="preserve">Fieldwork – Testing of Controls, Substantive Procedures, and Confirmation of Balances</w:t>
            </w:r>
          </w:p>
        </w:tc>
        <w:tc>
          <w:tcPr/>
          <w:p>
            <w:pPr>
              <w:pStyle w:val="Compact"/>
              <w:jc w:val="left"/>
            </w:pPr>
            <w:r>
              <w:t xml:space="preserve">6 weeks</w:t>
            </w:r>
          </w:p>
        </w:tc>
        <w:tc>
          <w:tcPr/>
          <w:p>
            <w:pPr>
              <w:pStyle w:val="Compact"/>
              <w:jc w:val="left"/>
            </w:pPr>
            <w:r>
              <w:t xml:space="preserve">18,000/day</w:t>
            </w:r>
          </w:p>
        </w:tc>
        <w:tc>
          <w:tcPr/>
          <w:p>
            <w:pPr>
              <w:pStyle w:val="Compact"/>
              <w:jc w:val="left"/>
            </w:pPr>
            <w:r>
              <w:t xml:space="preserve">4,320,000</w:t>
            </w:r>
          </w:p>
        </w:tc>
      </w:tr>
      <w:tr>
        <w:tc>
          <w:tcPr/>
          <w:p>
            <w:pPr>
              <w:pStyle w:val="Compact"/>
              <w:jc w:val="left"/>
            </w:pPr>
            <w:r>
              <w:t xml:space="preserve">3.0</w:t>
            </w:r>
          </w:p>
        </w:tc>
        <w:tc>
          <w:tcPr/>
          <w:p>
            <w:pPr>
              <w:pStyle w:val="Compact"/>
              <w:jc w:val="left"/>
            </w:pPr>
            <w:r>
              <w:t xml:space="preserve">Internal Audit Review – Operational and Compliance Controls (Nairobi offices and branches)</w:t>
            </w:r>
          </w:p>
        </w:tc>
        <w:tc>
          <w:tcPr/>
          <w:p>
            <w:pPr>
              <w:pStyle w:val="Compact"/>
              <w:jc w:val="left"/>
            </w:pPr>
            <w:r>
              <w:t xml:space="preserve">3 weeks</w:t>
            </w:r>
          </w:p>
        </w:tc>
        <w:tc>
          <w:tcPr/>
          <w:p>
            <w:pPr>
              <w:pStyle w:val="Compact"/>
              <w:jc w:val="left"/>
            </w:pPr>
            <w:r>
              <w:t xml:space="preserve">15,000/day</w:t>
            </w:r>
          </w:p>
        </w:tc>
        <w:tc>
          <w:tcPr/>
          <w:p>
            <w:pPr>
              <w:pStyle w:val="Compact"/>
              <w:jc w:val="left"/>
            </w:pPr>
            <w:r>
              <w:t xml:space="preserve">1,575,000</w:t>
            </w:r>
          </w:p>
        </w:tc>
      </w:tr>
      <w:tr>
        <w:tc>
          <w:tcPr/>
          <w:p>
            <w:pPr>
              <w:pStyle w:val="Compact"/>
              <w:jc w:val="left"/>
            </w:pPr>
            <w:r>
              <w:t xml:space="preserve">4.0</w:t>
            </w:r>
          </w:p>
        </w:tc>
        <w:tc>
          <w:tcPr/>
          <w:p>
            <w:pPr>
              <w:pStyle w:val="Compact"/>
              <w:jc w:val="left"/>
            </w:pPr>
            <w:r>
              <w:t xml:space="preserve">Tax Compliance Audit – Income Tax, VAT, PAYE, and Withholding Tax Reconciliation</w:t>
            </w:r>
          </w:p>
        </w:tc>
        <w:tc>
          <w:tcPr/>
          <w:p>
            <w:pPr>
              <w:pStyle w:val="Compact"/>
              <w:jc w:val="left"/>
            </w:pPr>
            <w:r>
              <w:t xml:space="preserve">2 weeks</w:t>
            </w:r>
          </w:p>
        </w:tc>
        <w:tc>
          <w:tcPr/>
          <w:p>
            <w:pPr>
              <w:pStyle w:val="Compact"/>
              <w:jc w:val="left"/>
            </w:pPr>
            <w:r>
              <w:t xml:space="preserve">12,000/day</w:t>
            </w:r>
          </w:p>
        </w:tc>
        <w:tc>
          <w:tcPr/>
          <w:p>
            <w:pPr>
              <w:pStyle w:val="Compact"/>
              <w:jc w:val="left"/>
            </w:pPr>
            <w:r>
              <w:t xml:space="preserve">336,000</w:t>
            </w:r>
          </w:p>
        </w:tc>
      </w:tr>
      <w:tr>
        <w:tc>
          <w:tcPr/>
          <w:p>
            <w:pPr>
              <w:pStyle w:val="Compact"/>
              <w:jc w:val="left"/>
            </w:pPr>
            <w:r>
              <w:t xml:space="preserve">5.0</w:t>
            </w:r>
          </w:p>
        </w:tc>
        <w:tc>
          <w:tcPr/>
          <w:p>
            <w:pPr>
              <w:pStyle w:val="Compact"/>
              <w:jc w:val="left"/>
            </w:pPr>
            <w:r>
              <w:t xml:space="preserve">Preparation and Issuance of Auditor's Report, Management Letter, and Board Presentation</w:t>
            </w:r>
          </w:p>
        </w:tc>
        <w:tc>
          <w:tcPr/>
          <w:p>
            <w:pPr>
              <w:pStyle w:val="Compact"/>
              <w:jc w:val="left"/>
            </w:pPr>
            <w:r>
              <w:t xml:space="preserve">1 week</w:t>
            </w:r>
          </w:p>
        </w:tc>
        <w:tc>
          <w:tcPr/>
          <w:p>
            <w:pPr>
              <w:pStyle w:val="Compact"/>
              <w:jc w:val="left"/>
            </w:pPr>
            <w:r>
              <w:t xml:space="preserve">Flat Fee</w:t>
            </w:r>
          </w:p>
        </w:tc>
        <w:tc>
          <w:tcPr/>
          <w:p>
            <w:pPr>
              <w:pStyle w:val="Compact"/>
              <w:jc w:val="left"/>
            </w:pPr>
            <w:r>
              <w:t xml:space="preserve">250,000</w:t>
            </w:r>
          </w:p>
        </w:tc>
      </w:tr>
      <w:tr>
        <w:tc>
          <w:tcPr/>
          <w:p>
            <w:pPr>
              <w:pStyle w:val="Compact"/>
              <w:jc w:val="left"/>
            </w:pPr>
            <w:r>
              <w:t xml:space="preserve">6.0</w:t>
            </w:r>
          </w:p>
        </w:tc>
        <w:tc>
          <w:tcPr/>
          <w:p>
            <w:pPr>
              <w:pStyle w:val="Compact"/>
              <w:jc w:val="left"/>
            </w:pPr>
            <w:r>
              <w:t xml:space="preserve">Travel, Accommodation, and Logistics within Kenya Nairobi and surrounding counties</w:t>
            </w:r>
          </w:p>
        </w:tc>
        <w:tc>
          <w:tcPr/>
          <w:p>
            <w:pPr>
              <w:pStyle w:val="Compact"/>
              <w:jc w:val="left"/>
            </w:pPr>
            <w:r>
              <w:t xml:space="preserve">14 weeks</w:t>
            </w:r>
          </w:p>
        </w:tc>
        <w:tc>
          <w:tcPr/>
          <w:p>
            <w:pPr>
              <w:pStyle w:val="Compact"/>
              <w:jc w:val="left"/>
            </w:pPr>
            <w:r>
              <w:t xml:space="preserve">Flat Fee</w:t>
            </w:r>
          </w:p>
        </w:tc>
        <w:tc>
          <w:tcPr/>
          <w:p>
            <w:pPr>
              <w:pStyle w:val="Compact"/>
              <w:jc w:val="left"/>
            </w:pPr>
            <w:r>
              <w:t xml:space="preserve">180,000</w:t>
            </w:r>
          </w:p>
        </w:tc>
      </w:tr>
      <w:tr>
        <w:tc>
          <w:tcPr/>
          <w:p>
            <w:pPr>
              <w:pStyle w:val="Compact"/>
              <w:jc w:val="left"/>
            </w:pPr>
            <w:r>
              <w:t xml:space="preserve">7.0</w:t>
            </w:r>
          </w:p>
        </w:tc>
        <w:tc>
          <w:tcPr/>
          <w:p>
            <w:pPr>
              <w:pStyle w:val="Compact"/>
              <w:jc w:val="left"/>
            </w:pPr>
            <w:r>
              <w:t xml:space="preserve">Professional Indemnity Insurance and KASB Annual Levy (Auditor registration)</w:t>
            </w:r>
          </w:p>
        </w:tc>
        <w:tc>
          <w:tcPr/>
          <w:p>
            <w:pPr>
              <w:pStyle w:val="Compact"/>
              <w:jc w:val="left"/>
            </w:pPr>
            <w:r>
              <w:t xml:space="preserve">Annual</w:t>
            </w:r>
          </w:p>
        </w:tc>
        <w:tc>
          <w:tcPr/>
          <w:p>
            <w:pPr>
              <w:pStyle w:val="Compact"/>
              <w:jc w:val="left"/>
            </w:pPr>
            <w:r>
              <w:t xml:space="preserve">Flat Fee</w:t>
            </w:r>
          </w:p>
        </w:tc>
        <w:tc>
          <w:tcPr/>
          <w:p>
            <w:pPr>
              <w:pStyle w:val="Compact"/>
              <w:jc w:val="left"/>
            </w:pPr>
            <w:r>
              <w:t xml:space="preserve">95,000</w:t>
            </w:r>
          </w:p>
        </w:tc>
      </w:tr>
      <w:tr>
        <w:tc>
          <w:tcPr>
            <w:gridSpan w:val="4"/>
          </w:tcPr>
          <w:p>
            <w:pPr>
              <w:pStyle w:val="Compact"/>
              <w:jc w:val="left"/>
            </w:pPr>
            <w:r>
              <w:t xml:space="preserve">Subtotal (KES)</w:t>
            </w:r>
          </w:p>
        </w:tc>
        <w:tc>
          <w:tcPr/>
          <w:p>
            <w:pPr>
              <w:pStyle w:val="Compact"/>
              <w:jc w:val="left"/>
            </w:pPr>
            <w:r>
              <w:t xml:space="preserve">8,196,000</w:t>
            </w:r>
          </w:p>
        </w:tc>
      </w:tr>
      <w:tr>
        <w:tc>
          <w:tcPr>
            <w:gridSpan w:val="4"/>
          </w:tcPr>
          <w:p>
            <w:pPr>
              <w:pStyle w:val="Compact"/>
              <w:jc w:val="left"/>
            </w:pPr>
            <w:r>
              <w:t xml:space="preserve">VAT @ 16%</w:t>
            </w:r>
          </w:p>
        </w:tc>
        <w:tc>
          <w:tcPr/>
          <w:p>
            <w:pPr>
              <w:pStyle w:val="Compact"/>
              <w:jc w:val="left"/>
            </w:pPr>
            <w:r>
              <w:t xml:space="preserve">1,311,360</w:t>
            </w:r>
          </w:p>
        </w:tc>
      </w:tr>
      <w:tr>
        <w:tc>
          <w:tcPr>
            <w:gridSpan w:val="4"/>
          </w:tcPr>
          <w:p>
            <w:pPr>
              <w:pStyle w:val="Compact"/>
              <w:jc w:val="left"/>
            </w:pPr>
            <w:r>
              <w:rPr>
                <w:bCs/>
                <w:b/>
              </w:rPr>
              <w:t xml:space="preserve">TOTAL QUOTATION ESTIMATE (KES)</w:t>
            </w:r>
          </w:p>
        </w:tc>
        <w:tc>
          <w:tcPr/>
          <w:p>
            <w:pPr>
              <w:pStyle w:val="Compact"/>
              <w:jc w:val="left"/>
            </w:pPr>
            <w:r>
              <w:rPr>
                <w:bCs/>
                <w:b/>
              </w:rPr>
              <w:t xml:space="preserve">9,507,360</w:t>
            </w:r>
          </w:p>
        </w:tc>
      </w:tr>
    </w:tbl>
    <w:bookmarkEnd w:id="24"/>
    <w:bookmarkStart w:id="25" w:name="terms-and-conditions"/>
    <w:p>
      <w:pPr>
        <w:pStyle w:val="Heading2"/>
      </w:pPr>
      <w:r>
        <w:t xml:space="preserve">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rates may be subject to revision based on market conditions in</w:t>
      </w:r>
      <w:r>
        <w:t xml:space="preserve"> </w:t>
      </w:r>
      <w:r>
        <w:t xml:space="preserve">Kenya Nairobi</w:t>
      </w:r>
      <w:r>
        <w:t xml:space="preserve">.</w:t>
      </w:r>
    </w:p>
    <w:p>
      <w:pPr>
        <w:numPr>
          <w:ilvl w:val="0"/>
          <w:numId w:val="1002"/>
        </w:numPr>
        <w:pStyle w:val="Compact"/>
      </w:pPr>
      <w:r>
        <w:t xml:space="preserve">Payment terms: 40% advance upon acceptance of this Quotation Estimate, 40% upon completion of fieldwork, and 20% upon delivery of the final Auditor's Report.</w:t>
      </w:r>
    </w:p>
    <w:p>
      <w:pPr>
        <w:numPr>
          <w:ilvl w:val="0"/>
          <w:numId w:val="1002"/>
        </w:numPr>
        <w:pStyle w:val="Compact"/>
      </w:pPr>
      <w:r>
        <w:t xml:space="preserve">All payments shall be made in Kenyan Shillings (KES) to the bank account of Kenya Nairobi Audit &amp; Advisory Services Ltd.</w:t>
      </w:r>
    </w:p>
    <w:p>
      <w:pPr>
        <w:numPr>
          <w:ilvl w:val="0"/>
          <w:numId w:val="1002"/>
        </w:numPr>
        <w:pStyle w:val="Compact"/>
      </w:pPr>
      <w:r>
        <w:t xml:space="preserve">The</w:t>
      </w:r>
      <w:r>
        <w:t xml:space="preserve"> </w:t>
      </w:r>
      <w:r>
        <w:t xml:space="preserve">Auditor</w:t>
      </w:r>
      <w:r>
        <w:t xml:space="preserve"> </w:t>
      </w:r>
      <w:r>
        <w:t xml:space="preserve">team shall maintain strict confidentiality of all client information in accordance with the Data Protection Act, 2019 of Kenya.</w:t>
      </w:r>
    </w:p>
    <w:p>
      <w:pPr>
        <w:numPr>
          <w:ilvl w:val="0"/>
          <w:numId w:val="1002"/>
        </w:numPr>
        <w:pStyle w:val="Compact"/>
      </w:pPr>
      <w:r>
        <w:t xml:space="preserve">Any additional services beyond the scope outlined in this Quotation Estimate shall be subject to a separate written agreement and additional fees.</w:t>
      </w:r>
    </w:p>
    <w:p>
      <w:pPr>
        <w:numPr>
          <w:ilvl w:val="0"/>
          <w:numId w:val="1002"/>
        </w:numPr>
        <w:pStyle w:val="Compact"/>
      </w:pPr>
      <w:r>
        <w:t xml:space="preserve">The engagement shall be governed by the laws of the Republic of Kenya, and any disputes shall be resolved through arbitration in Nairobi, Kenya.</w:t>
      </w:r>
    </w:p>
    <w:p>
      <w:pPr>
        <w:numPr>
          <w:ilvl w:val="0"/>
          <w:numId w:val="1002"/>
        </w:numPr>
        <w:pStyle w:val="Compact"/>
      </w:pPr>
      <w:r>
        <w:t xml:space="preserve">Our</w:t>
      </w:r>
      <w:r>
        <w:t xml:space="preserve"> </w:t>
      </w:r>
      <w:r>
        <w:t xml:space="preserve">Auditor</w:t>
      </w:r>
      <w:r>
        <w:t xml:space="preserve"> </w:t>
      </w:r>
      <w:r>
        <w:t xml:space="preserve">professionals are registered with the Institute of Certified Public Accountants of Kenya (ICPAK) and hold valid Practising Certificates.</w:t>
      </w:r>
    </w:p>
    <w:bookmarkEnd w:id="25"/>
    <w:bookmarkStart w:id="26" w:name="acceptance-and-authorisation"/>
    <w:p>
      <w:pPr>
        <w:pStyle w:val="Heading2"/>
      </w:pPr>
      <w:r>
        <w:t xml:space="preserve">Acceptance and Authorisation</w:t>
      </w:r>
    </w:p>
    <w:p>
      <w:pPr>
        <w:pStyle w:val="FirstParagraph"/>
      </w:pPr>
      <w:r>
        <w:t xml:space="preserve">By signing below, the client acknowledges and accepts this</w:t>
      </w:r>
      <w:r>
        <w:t xml:space="preserve"> </w:t>
      </w:r>
      <w:r>
        <w:t xml:space="preserve">Quotation Estimate</w:t>
      </w:r>
      <w:r>
        <w:t xml:space="preserve"> </w:t>
      </w:r>
      <w:r>
        <w:t xml:space="preserve">for the engagement of our</w:t>
      </w:r>
      <w:r>
        <w:t xml:space="preserve"> </w:t>
      </w:r>
      <w:r>
        <w:t xml:space="preserve">Auditor</w:t>
      </w:r>
      <w:r>
        <w:t xml:space="preserve"> </w:t>
      </w:r>
      <w:r>
        <w:t xml:space="preserve">services in</w:t>
      </w:r>
      <w:r>
        <w:t xml:space="preserve"> </w:t>
      </w:r>
      <w:r>
        <w:t xml:space="preserve">Kenya Nairobi</w:t>
      </w:r>
      <w:r>
        <w:t xml:space="preserve"> </w:t>
      </w:r>
      <w:r>
        <w:t xml:space="preserve">under the terms and conditions stated herein.</w:t>
      </w:r>
    </w:p>
    <w:p>
      <w:pPr>
        <w:pStyle w:val="BodyText"/>
      </w:pPr>
      <w:r>
        <w:rPr>
          <w:bCs/>
          <w:b/>
        </w:rPr>
        <w:t xml:space="preserve">For: Kenya Nairobi Audit &amp; Advisory Services Ltd.</w:t>
      </w:r>
    </w:p>
    <w:p>
      <w:pPr>
        <w:pStyle w:val="BodyText"/>
      </w:pPr>
      <w:r>
        <w:t xml:space="preserve">Name: J. Mwangi</w:t>
      </w:r>
    </w:p>
    <w:p>
      <w:pPr>
        <w:pStyle w:val="BodyText"/>
      </w:pPr>
      <w:r>
        <w:t xml:space="preserve">Title: Senior Auditor / Engagement Partner</w:t>
      </w:r>
    </w:p>
    <w:p>
      <w:pPr>
        <w:pStyle w:val="BodyText"/>
      </w:pPr>
      <w:r>
        <w:t xml:space="preserve">Date: _______________</w:t>
      </w:r>
    </w:p>
    <w:p>
      <w:pPr>
        <w:pStyle w:val="BodyText"/>
      </w:pPr>
      <w:r>
        <w:rPr>
          <w:bCs/>
          <w:b/>
        </w:rPr>
        <w:t xml:space="preserve">For: [Client Company Name]</w:t>
      </w:r>
    </w:p>
    <w:p>
      <w:pPr>
        <w:pStyle w:val="BodyText"/>
      </w:pPr>
      <w:r>
        <w:t xml:space="preserve">Name: _________________________</w:t>
      </w:r>
    </w:p>
    <w:p>
      <w:pPr>
        <w:pStyle w:val="BodyText"/>
      </w:pPr>
      <w:r>
        <w:t xml:space="preserve">Title: _________________________</w:t>
      </w:r>
    </w:p>
    <w:p>
      <w:pPr>
        <w:pStyle w:val="BodyText"/>
      </w:pPr>
      <w:r>
        <w:t xml:space="preserve">Date: _______________</w:t>
      </w:r>
    </w:p>
    <w:p>
      <w:pPr>
        <w:pStyle w:val="BodyText"/>
      </w:pPr>
      <w:r>
        <w:t xml:space="preserve">This Quotation Estimate is the property of Kenya Nairobi Audit &amp; Advisory Services Ltd. and is issued solely for the named client. Unauthorised reproduction or distribution is prohibited.</w:t>
      </w:r>
    </w:p>
    <w:p>
      <w:pPr>
        <w:pStyle w:val="BodyText"/>
      </w:pPr>
      <w:r>
        <w:t xml:space="preserve">© 2025 Kenya Nairobi Audit &amp; Advisory Services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Kenya Nairobi</dc:title>
  <dc:creator/>
  <dc:language>en</dc:language>
  <cp:keywords/>
  <dcterms:created xsi:type="dcterms:W3CDTF">2026-10-10T03:08:00Z</dcterms:created>
  <dcterms:modified xsi:type="dcterms:W3CDTF">2026-10-10T03:08:00Z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