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Meridian Audit &amp; Advisory Sdn. Bhd.</w:t>
      </w:r>
    </w:p>
    <w:p>
      <w:pPr>
        <w:pStyle w:val="BodyText"/>
      </w:pPr>
      <w:r>
        <w:t xml:space="preserve">Level 24, Menara Maxis, Jalan Tun Razak, 50400</w:t>
      </w:r>
      <w:r>
        <w:t xml:space="preserve"> </w:t>
      </w:r>
      <w:r>
        <w:t xml:space="preserve">Malaysia Kuala Lumpur</w:t>
      </w:r>
    </w:p>
    <w:p>
      <w:pPr>
        <w:pStyle w:val="BodyText"/>
      </w:pPr>
      <w:r>
        <w:t xml:space="preserve">Tel: +603-2181-8800 | Email: quotations@meridianaudit.my</w:t>
      </w:r>
    </w:p>
    <w:p>
      <w:pPr>
        <w:pStyle w:val="BodyText"/>
      </w:pPr>
      <w:r>
        <w:t xml:space="preserve">Registration No: 200301045678 (567890-A) | MIA Membership: FCA-12345</w:t>
      </w:r>
    </w:p>
    <w:bookmarkEnd w:id="20"/>
    <w:p>
      <w:pPr>
        <w:pStyle w:val="BodyText"/>
      </w:pPr>
      <w:r>
        <w:rPr>
          <w:bCs/>
          <w:b/>
        </w:rPr>
        <w:t xml:space="preserve">Quotation Estimate No:</w:t>
      </w:r>
      <w:r>
        <w:t xml:space="preserve"> </w:t>
      </w:r>
      <w:r>
        <w:t xml:space="preserve">QTE-2025-KL-0847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 Sdn. Bhd.</w:t>
      </w:r>
      <w:r>
        <w:br/>
      </w:r>
      <w:r>
        <w:rPr>
          <w:bCs/>
          <w:b/>
        </w:rPr>
        <w:t xml:space="preserve">Address:</w:t>
      </w:r>
      <w:r>
        <w:t xml:space="preserve"> </w:t>
      </w:r>
      <w:r>
        <w:t xml:space="preserve">[Client Address],</w:t>
      </w:r>
      <w:r>
        <w:t xml:space="preserve"> </w:t>
      </w:r>
      <w:r>
        <w:t xml:space="preserve">Malaysia Kuala Lumpur</w:t>
      </w:r>
      <w:r>
        <w:br/>
      </w:r>
      <w:r>
        <w:rPr>
          <w:bCs/>
          <w:b/>
        </w:rPr>
        <w:t xml:space="preserve">Attention:</w:t>
      </w:r>
      <w:r>
        <w:t xml:space="preserve"> </w:t>
      </w:r>
      <w:r>
        <w:t xml:space="preserve">[Contact Person], Finance Director</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Meridian Audit &amp; Advisory Sdn. Bhd. (hereinafter referred to as "the Auditor") to provide a comprehensive and transparent breakdown of professional fees for statutory audit, tax compliance, and advisory services to be rendered in</w:t>
      </w:r>
      <w:r>
        <w:t xml:space="preserve"> </w:t>
      </w:r>
      <w:r>
        <w:t xml:space="preserve">Malaysia Kuala Lumpur</w:t>
      </w:r>
      <w:r>
        <w:t xml:space="preserve">. This document serves as a formal</w:t>
      </w:r>
      <w:r>
        <w:t xml:space="preserve"> </w:t>
      </w:r>
      <w:r>
        <w:t xml:space="preserve">Quotation Estimate</w:t>
      </w:r>
      <w:r>
        <w:t xml:space="preserve"> </w:t>
      </w:r>
      <w:r>
        <w:t xml:space="preserve">outlining the scope of work, deliverables, timelines, and associated costs for the engagement of our</w:t>
      </w:r>
      <w:r>
        <w:t xml:space="preserve"> </w:t>
      </w:r>
      <w:r>
        <w:t xml:space="preserve">Auditor</w:t>
      </w:r>
      <w:r>
        <w:t xml:space="preserve"> </w:t>
      </w:r>
      <w:r>
        <w:t xml:space="preserve">team for the financial year ending 31 December 2025. All rates quoted herein are exclusive of 8% Goods and Services Tax (GST) or 6% Sales Tax as applicable under the current tax regime in</w:t>
      </w:r>
      <w:r>
        <w:t xml:space="preserve"> </w:t>
      </w:r>
      <w:r>
        <w:t xml:space="preserve">Malaysia Kuala Lumpur</w:t>
      </w:r>
      <w:r>
        <w:t xml:space="preserve">.</w:t>
      </w:r>
    </w:p>
    <w:p>
      <w:pPr>
        <w:pStyle w:val="BodyText"/>
      </w:pPr>
      <w:r>
        <w:t xml:space="preserve">2. Scope of Auditor Services</w:t>
      </w:r>
    </w:p>
    <w:p>
      <w:pPr>
        <w:pStyle w:val="BodyText"/>
      </w:pPr>
      <w:r>
        <w:t xml:space="preserve">The</w:t>
      </w:r>
      <w:r>
        <w:t xml:space="preserve"> </w:t>
      </w:r>
      <w:r>
        <w:t xml:space="preserve">Auditor</w:t>
      </w:r>
      <w:r>
        <w:t xml:space="preserve"> </w:t>
      </w:r>
      <w:r>
        <w:t xml:space="preserve">engagement encompasses the following professional services to be conducted in accordance with Malaysian Financial Reporting Standards (MFRS), International Standards on Auditing (ISA) as adopted by the Malaysian Institute of Accountants (MIA), and the Companies Act 2016 of Malaysia: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Professional Fee (RM)</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Statutory Audit of Annual Financial Statements (MFRS-compliant)</w:t>
            </w:r>
          </w:p>
        </w:tc>
        <w:tc>
          <w:tcPr/>
          <w:p>
            <w:pPr>
              <w:pStyle w:val="Compact"/>
              <w:jc w:val="left"/>
            </w:pPr>
            <w:r>
              <w:t xml:space="preserve">6 weeks</w:t>
            </w:r>
          </w:p>
        </w:tc>
        <w:tc>
          <w:tcPr/>
          <w:p>
            <w:pPr>
              <w:pStyle w:val="Compact"/>
              <w:jc w:val="left"/>
            </w:pPr>
            <w:r>
              <w:t xml:space="preserve">45,000.00</w:t>
            </w:r>
          </w:p>
        </w:tc>
        <w:tc>
          <w:tcPr/>
          <w:p>
            <w:pPr>
              <w:pStyle w:val="Compact"/>
              <w:jc w:val="left"/>
            </w:pPr>
            <w:r>
              <w:t xml:space="preserve">Includes fieldwork, review, and reporting in</w:t>
            </w:r>
            <w:r>
              <w:t xml:space="preserve"> </w:t>
            </w:r>
            <w:r>
              <w:t xml:space="preserve">Malaysia Kuala Lumpur</w:t>
            </w:r>
          </w:p>
        </w:tc>
      </w:tr>
      <w:tr>
        <w:tc>
          <w:tcPr/>
          <w:p>
            <w:pPr>
              <w:pStyle w:val="Compact"/>
              <w:jc w:val="left"/>
            </w:pPr>
            <w:r>
              <w:t xml:space="preserve">2</w:t>
            </w:r>
          </w:p>
        </w:tc>
        <w:tc>
          <w:tcPr/>
          <w:p>
            <w:pPr>
              <w:pStyle w:val="Compact"/>
              <w:jc w:val="left"/>
            </w:pPr>
            <w:r>
              <w:t xml:space="preserve">Internal Control Assessment &amp; Risk Advisory</w:t>
            </w:r>
          </w:p>
        </w:tc>
        <w:tc>
          <w:tcPr/>
          <w:p>
            <w:pPr>
              <w:pStyle w:val="Compact"/>
              <w:jc w:val="left"/>
            </w:pPr>
            <w:r>
              <w:t xml:space="preserve">3 weeks</w:t>
            </w:r>
          </w:p>
        </w:tc>
        <w:tc>
          <w:tcPr/>
          <w:p>
            <w:pPr>
              <w:pStyle w:val="Compact"/>
              <w:jc w:val="left"/>
            </w:pPr>
            <w:r>
              <w:t xml:space="preserve">22,500.00</w:t>
            </w:r>
          </w:p>
        </w:tc>
        <w:tc>
          <w:tcPr/>
          <w:p>
            <w:pPr>
              <w:pStyle w:val="Compact"/>
              <w:jc w:val="left"/>
            </w:pPr>
            <w:r>
              <w:t xml:space="preserve">On-site at client premises,</w:t>
            </w:r>
            <w:r>
              <w:t xml:space="preserve"> </w:t>
            </w:r>
            <w:r>
              <w:t xml:space="preserve">Malaysia Kuala Lumpur</w:t>
            </w:r>
          </w:p>
        </w:tc>
      </w:tr>
      <w:tr>
        <w:tc>
          <w:tcPr/>
          <w:p>
            <w:pPr>
              <w:pStyle w:val="Compact"/>
              <w:jc w:val="left"/>
            </w:pPr>
            <w:r>
              <w:t xml:space="preserve">3</w:t>
            </w:r>
          </w:p>
        </w:tc>
        <w:tc>
          <w:tcPr/>
          <w:p>
            <w:pPr>
              <w:pStyle w:val="Compact"/>
              <w:jc w:val="left"/>
            </w:pPr>
            <w:r>
              <w:t xml:space="preserve">Tax Compliance Review (Income Tax Act 1967)</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Corporate tax filing support</w:t>
            </w:r>
          </w:p>
        </w:tc>
      </w:tr>
      <w:tr>
        <w:tc>
          <w:tcPr/>
          <w:p>
            <w:pPr>
              <w:pStyle w:val="Compact"/>
              <w:jc w:val="left"/>
            </w:pPr>
            <w:r>
              <w:t xml:space="preserve">4</w:t>
            </w:r>
          </w:p>
        </w:tc>
        <w:tc>
          <w:tcPr/>
          <w:p>
            <w:pPr>
              <w:pStyle w:val="Compact"/>
              <w:jc w:val="left"/>
            </w:pPr>
            <w:r>
              <w:t xml:space="preserve">Management Letter &amp; Remediation Follow-up</w:t>
            </w:r>
          </w:p>
        </w:tc>
        <w:tc>
          <w:tcPr/>
          <w:p>
            <w:pPr>
              <w:pStyle w:val="Compact"/>
              <w:jc w:val="left"/>
            </w:pPr>
            <w:r>
              <w:t xml:space="preserve">1 week</w:t>
            </w:r>
          </w:p>
        </w:tc>
        <w:tc>
          <w:tcPr/>
          <w:p>
            <w:pPr>
              <w:pStyle w:val="Compact"/>
              <w:jc w:val="left"/>
            </w:pPr>
            <w:r>
              <w:t xml:space="preserve">8,500.00</w:t>
            </w:r>
          </w:p>
        </w:tc>
        <w:tc>
          <w:tcPr/>
          <w:p>
            <w:pPr>
              <w:pStyle w:val="Compact"/>
              <w:jc w:val="left"/>
            </w:pPr>
            <w:r>
              <w:t xml:space="preserve">Delivered to Board of Directors</w:t>
            </w:r>
          </w:p>
        </w:tc>
      </w:tr>
      <w:tr>
        <w:tc>
          <w:tcPr/>
          <w:p>
            <w:pPr>
              <w:pStyle w:val="Compact"/>
              <w:jc w:val="left"/>
            </w:pPr>
            <w:r>
              <w:t xml:space="preserve">5</w:t>
            </w:r>
          </w:p>
        </w:tc>
        <w:tc>
          <w:tcPr/>
          <w:p>
            <w:pPr>
              <w:pStyle w:val="Compact"/>
              <w:jc w:val="left"/>
            </w:pPr>
            <w:r>
              <w:t xml:space="preserve">Interim Review (Half-Year Financials)</w:t>
            </w:r>
          </w:p>
        </w:tc>
        <w:tc>
          <w:tcPr/>
          <w:p>
            <w:pPr>
              <w:pStyle w:val="Compact"/>
              <w:jc w:val="left"/>
            </w:pPr>
            <w:r>
              <w:t xml:space="preserve">2 weeks</w:t>
            </w:r>
          </w:p>
        </w:tc>
        <w:tc>
          <w:tcPr/>
          <w:p>
            <w:pPr>
              <w:pStyle w:val="Compact"/>
              <w:jc w:val="left"/>
            </w:pPr>
            <w:r>
              <w:t xml:space="preserve">15,000.00</w:t>
            </w:r>
          </w:p>
        </w:tc>
        <w:tc>
          <w:tcPr/>
          <w:p>
            <w:pPr>
              <w:pStyle w:val="Compact"/>
              <w:jc w:val="left"/>
            </w:pPr>
            <w:r>
              <w:t xml:space="preserve">Q2 2025 interim statements</w:t>
            </w:r>
          </w:p>
        </w:tc>
      </w:tr>
      <w:tr>
        <w:tc>
          <w:tcPr/>
          <w:p>
            <w:pPr>
              <w:pStyle w:val="Compact"/>
              <w:jc w:val="left"/>
            </w:pPr>
            <w:r>
              <w:t xml:space="preserve">6</w:t>
            </w:r>
          </w:p>
        </w:tc>
        <w:tc>
          <w:tcPr/>
          <w:p>
            <w:pPr>
              <w:pStyle w:val="Compact"/>
              <w:jc w:val="left"/>
            </w:pPr>
            <w:r>
              <w:t xml:space="preserve">Ad-hoc Consultation &amp; Regulatory Liaison (SC, BNM, LHDN)</w:t>
            </w:r>
          </w:p>
        </w:tc>
        <w:tc>
          <w:tcPr/>
          <w:p>
            <w:pPr>
              <w:pStyle w:val="Compact"/>
              <w:jc w:val="left"/>
            </w:pPr>
            <w:r>
              <w:t xml:space="preserve">Ongoing</w:t>
            </w:r>
          </w:p>
        </w:tc>
        <w:tc>
          <w:tcPr/>
          <w:p>
            <w:pPr>
              <w:pStyle w:val="Compact"/>
              <w:jc w:val="left"/>
            </w:pPr>
            <w:r>
              <w:t xml:space="preserve">5,000.00</w:t>
            </w:r>
          </w:p>
        </w:tc>
        <w:tc>
          <w:tcPr/>
          <w:p>
            <w:pPr>
              <w:pStyle w:val="Compact"/>
              <w:jc w:val="left"/>
            </w:pPr>
            <w:r>
              <w:t xml:space="preserve">Up to 40 hours; excess at RM 250/hr</w:t>
            </w:r>
          </w:p>
        </w:tc>
      </w:tr>
      <w:tr>
        <w:tc>
          <w:tcPr>
            <w:gridSpan w:val="3"/>
          </w:tcPr>
          <w:p>
            <w:pPr>
              <w:pStyle w:val="Compact"/>
              <w:jc w:val="left"/>
            </w:pPr>
            <w:r>
              <w:t xml:space="preserve">Subtotal (Professional Fees)</w:t>
            </w:r>
          </w:p>
        </w:tc>
        <w:tc>
          <w:tcPr/>
          <w:p>
            <w:pPr>
              <w:pStyle w:val="Compact"/>
              <w:jc w:val="left"/>
            </w:pPr>
            <w:r>
              <w:t xml:space="preserve">RM 108,000.00</w:t>
            </w:r>
          </w:p>
        </w:tc>
        <w:tc>
          <w:tcPr/>
          <w:p>
            <w:pPr>
              <w:pStyle w:val="Compact"/>
            </w:pPr>
          </w:p>
        </w:tc>
      </w:tr>
      <w:tr>
        <w:tc>
          <w:tcPr>
            <w:gridSpan w:val="3"/>
          </w:tcPr>
          <w:p>
            <w:pPr>
              <w:pStyle w:val="Compact"/>
              <w:jc w:val="left"/>
            </w:pPr>
            <w:r>
              <w:t xml:space="preserve">Estimated Out-of-Pocket Expenses (Travel, Accommodation, Printing)</w:t>
            </w:r>
          </w:p>
        </w:tc>
        <w:tc>
          <w:tcPr/>
          <w:p>
            <w:pPr>
              <w:pStyle w:val="Compact"/>
              <w:jc w:val="left"/>
            </w:pPr>
            <w:r>
              <w:t xml:space="preserve">RM 4,500.00</w:t>
            </w:r>
          </w:p>
        </w:tc>
        <w:tc>
          <w:tcPr/>
          <w:p>
            <w:pPr>
              <w:pStyle w:val="Compact"/>
              <w:jc w:val="left"/>
            </w:pPr>
            <w:r>
              <w:t xml:space="preserve">Within</w:t>
            </w:r>
            <w:r>
              <w:t xml:space="preserve"> </w:t>
            </w:r>
            <w:r>
              <w:t xml:space="preserve">Malaysia Kuala Lumpur</w:t>
            </w:r>
            <w:r>
              <w:t xml:space="preserve"> </w:t>
            </w:r>
            <w:r>
              <w:t xml:space="preserve">metro area</w:t>
            </w:r>
          </w:p>
        </w:tc>
      </w:tr>
      <w:tr>
        <w:tc>
          <w:tcPr>
            <w:gridSpan w:val="3"/>
          </w:tcPr>
          <w:p>
            <w:pPr>
              <w:pStyle w:val="Compact"/>
              <w:jc w:val="left"/>
            </w:pPr>
            <w:r>
              <w:t xml:space="preserve">Estimated Total (Excluding Tax)</w:t>
            </w:r>
          </w:p>
        </w:tc>
        <w:tc>
          <w:tcPr/>
          <w:p>
            <w:pPr>
              <w:pStyle w:val="Compact"/>
              <w:jc w:val="left"/>
            </w:pPr>
            <w:r>
              <w:t xml:space="preserve">RM 112,500.00</w:t>
            </w:r>
          </w:p>
        </w:tc>
        <w:tc>
          <w:tcPr/>
          <w:p>
            <w:pPr>
              <w:pStyle w:val="Compact"/>
            </w:pPr>
          </w:p>
        </w:tc>
      </w:tr>
      <w:tr>
        <w:tc>
          <w:tcPr>
            <w:gridSpan w:val="3"/>
          </w:tcPr>
          <w:p>
            <w:pPr>
              <w:pStyle w:val="Compact"/>
              <w:jc w:val="left"/>
            </w:pPr>
            <w:r>
              <w:t xml:space="preserve">Sales Tax @ 6%</w:t>
            </w:r>
          </w:p>
        </w:tc>
        <w:tc>
          <w:tcPr/>
          <w:p>
            <w:pPr>
              <w:pStyle w:val="Compact"/>
              <w:jc w:val="left"/>
            </w:pPr>
            <w:r>
              <w:t xml:space="preserve">RM 6,750.00</w:t>
            </w:r>
          </w:p>
        </w:tc>
        <w:tc>
          <w:tcPr/>
          <w:p>
            <w:pPr>
              <w:pStyle w:val="Compact"/>
              <w:jc w:val="left"/>
            </w:pPr>
            <w:r>
              <w:t xml:space="preserve">As per LHDN regulations</w:t>
            </w:r>
          </w:p>
        </w:tc>
      </w:tr>
      <w:tr>
        <w:tc>
          <w:tcPr>
            <w:gridSpan w:val="3"/>
          </w:tcPr>
          <w:p>
            <w:pPr>
              <w:pStyle w:val="Compact"/>
              <w:jc w:val="left"/>
            </w:pPr>
            <w:r>
              <w:rPr>
                <w:bCs/>
                <w:b/>
              </w:rPr>
              <w:t xml:space="preserve">GRAND TOTAL (Inclusive of Tax)</w:t>
            </w:r>
          </w:p>
        </w:tc>
        <w:tc>
          <w:tcPr/>
          <w:p>
            <w:pPr>
              <w:pStyle w:val="Compact"/>
              <w:jc w:val="left"/>
            </w:pPr>
            <w:r>
              <w:rPr>
                <w:bCs/>
                <w:b/>
              </w:rPr>
              <w:t xml:space="preserve">RM 119,250.00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Auditor</w:t>
      </w:r>
      <w:r>
        <w:t xml:space="preserve"> </w:t>
      </w:r>
      <w:r>
        <w:t xml:space="preserve">reserves the right to revise fees based on prevailing market conditions in</w:t>
      </w:r>
      <w:r>
        <w:t xml:space="preserve"> </w:t>
      </w:r>
      <w:r>
        <w:t xml:space="preserve">Malaysia Kuala Lumpur</w:t>
      </w:r>
      <w:r>
        <w:t xml:space="preserve">.</w:t>
      </w:r>
    </w:p>
    <w:p>
      <w:pPr>
        <w:numPr>
          <w:ilvl w:val="0"/>
          <w:numId w:val="1001"/>
        </w:numPr>
        <w:pStyle w:val="Compact"/>
      </w:pPr>
      <w:r>
        <w:t xml:space="preserve">Payment terms: 40% upon execution of the engagement letter, 40% upon completion of fieldwork, and 20% upon issuance of the final audit report. All payments are due within fourteen (14) days of invoice date.</w:t>
      </w:r>
    </w:p>
    <w:p>
      <w:pPr>
        <w:numPr>
          <w:ilvl w:val="0"/>
          <w:numId w:val="1001"/>
        </w:numPr>
        <w:pStyle w:val="Compact"/>
      </w:pPr>
      <w:r>
        <w:t xml:space="preserve">The</w:t>
      </w:r>
      <w:r>
        <w:t xml:space="preserve"> </w:t>
      </w:r>
      <w:r>
        <w:t xml:space="preserve">Auditor</w:t>
      </w:r>
      <w:r>
        <w:t xml:space="preserve"> </w:t>
      </w:r>
      <w:r>
        <w:t xml:space="preserve">shall maintain strict confidentiality in accordance with the Personal Data Protection Act 2010 (PDPA) and the professional code of ethics of the Malaysian Institute of Accountants.</w:t>
      </w:r>
    </w:p>
    <w:p>
      <w:pPr>
        <w:numPr>
          <w:ilvl w:val="0"/>
          <w:numId w:val="1001"/>
        </w:numPr>
        <w:pStyle w:val="Compact"/>
      </w:pPr>
      <w:r>
        <w:t xml:space="preserve">All work shall be performed by qualified</w:t>
      </w:r>
      <w:r>
        <w:t xml:space="preserve"> </w:t>
      </w:r>
      <w:r>
        <w:t xml:space="preserve">Auditor</w:t>
      </w:r>
      <w:r>
        <w:t xml:space="preserve"> </w:t>
      </w:r>
      <w:r>
        <w:t xml:space="preserve">professionals registered with the MIA and holding valid practising certificates. The engagement partner shall be a Chartered Accountant (M) with a minimum of fifteen (15) years of experience in</w:t>
      </w:r>
      <w:r>
        <w:t xml:space="preserve"> </w:t>
      </w:r>
      <w:r>
        <w:t xml:space="preserve">Malaysia Kuala Lumpur</w:t>
      </w:r>
      <w:r>
        <w:t xml:space="preserve">.</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additional fees at the</w:t>
      </w:r>
      <w:r>
        <w:t xml:space="preserve"> </w:t>
      </w:r>
      <w:r>
        <w:t xml:space="preserve">Auditor</w:t>
      </w:r>
      <w:r>
        <w:t xml:space="preserve">'s standard hourly rate of RM 250.00 per hour.</w:t>
      </w:r>
    </w:p>
    <w:p>
      <w:pPr>
        <w:numPr>
          <w:ilvl w:val="0"/>
          <w:numId w:val="1001"/>
        </w:numPr>
        <w:pStyle w:val="Compact"/>
      </w:pPr>
      <w:r>
        <w:t xml:space="preserve">The</w:t>
      </w:r>
      <w:r>
        <w:t xml:space="preserve"> </w:t>
      </w:r>
      <w:r>
        <w:t xml:space="preserve">Auditor</w:t>
      </w:r>
      <w:r>
        <w:t xml:space="preserve"> </w:t>
      </w:r>
      <w:r>
        <w:t xml:space="preserve">shall not be liable for any consequential losses arising from the client's failure to provide timely access to records, personnel, or premises in</w:t>
      </w:r>
      <w:r>
        <w:t xml:space="preserve"> </w:t>
      </w:r>
      <w:r>
        <w:t xml:space="preserve">Malaysia Kuala Lumpur</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Engagement Letter is executed by both parties.</w:t>
      </w:r>
    </w:p>
    <w:p>
      <w:pPr>
        <w:numPr>
          <w:ilvl w:val="0"/>
          <w:numId w:val="1001"/>
        </w:numPr>
        <w:pStyle w:val="Compact"/>
      </w:pPr>
      <w:r>
        <w:t xml:space="preserve">Governing law: The laws of Malaysia. Any disputes shall be resolved through arbitration in</w:t>
      </w:r>
      <w:r>
        <w:t xml:space="preserve"> </w:t>
      </w:r>
      <w:r>
        <w:t xml:space="preserve">Malaysia Kuala Lumpur</w:t>
      </w:r>
      <w:r>
        <w:t xml:space="preserve"> </w:t>
      </w:r>
      <w:r>
        <w:t xml:space="preserve">under the rules of the Asian International Arbitration Centre (AIAC).</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set forth herein for the engagement of the</w:t>
      </w:r>
      <w:r>
        <w:t xml:space="preserve"> </w:t>
      </w:r>
      <w:r>
        <w:t xml:space="preserve">Auditor</w:t>
      </w:r>
      <w:r>
        <w:t xml:space="preserve"> </w:t>
      </w:r>
      <w:r>
        <w:t xml:space="preserve">services in</w:t>
      </w:r>
      <w:r>
        <w:t xml:space="preserve"> </w:t>
      </w:r>
      <w:r>
        <w:t xml:space="preserve">Malaysia Kuala Lumpur</w:t>
      </w:r>
      <w:r>
        <w:t xml:space="preserve">.</w:t>
      </w:r>
    </w:p>
    <w:p>
      <w:pPr>
        <w:pStyle w:val="BodyText"/>
      </w:pPr>
      <w:r>
        <w:rPr>
          <w:bCs/>
          <w:b/>
        </w:rPr>
        <w:t xml:space="preserve">For and on behalf of Meridian Audit &amp; Advisory Sdn. Bhd. (The Auditor)</w:t>
      </w:r>
      <w:r>
        <w:br/>
      </w:r>
      <w:r>
        <w:t xml:space="preserve">Name: ___________________________</w:t>
      </w:r>
      <w:r>
        <w:br/>
      </w:r>
      <w:r>
        <w:t xml:space="preserve">Designation: Engagement Partner</w:t>
      </w:r>
      <w:r>
        <w:br/>
      </w:r>
      <w:r>
        <w:t xml:space="preserve">Date: ___________________________</w:t>
      </w:r>
    </w:p>
    <w:p>
      <w:pPr>
        <w:pStyle w:val="BodyText"/>
      </w:pPr>
      <w:r>
        <w:rPr>
          <w:bCs/>
          <w:b/>
        </w:rPr>
        <w:t xml:space="preserve">For and on behalf of [Client Company Name] Sdn. Bhd.</w:t>
      </w:r>
      <w:r>
        <w:br/>
      </w:r>
      <w:r>
        <w:t xml:space="preserve">Name: ___________________________</w:t>
      </w:r>
      <w:r>
        <w:br/>
      </w:r>
      <w:r>
        <w:t xml:space="preserve">Designation: _______________________</w:t>
      </w:r>
      <w:r>
        <w:br/>
      </w:r>
      <w:r>
        <w:t xml:space="preserve">Date: ___________________________</w:t>
      </w:r>
    </w:p>
    <w:p>
      <w:pPr>
        <w:pStyle w:val="BodyText"/>
      </w:pPr>
      <w:r>
        <w:t xml:space="preserve">This</w:t>
      </w:r>
      <w:r>
        <w:t xml:space="preserve"> </w:t>
      </w:r>
      <w:r>
        <w:t xml:space="preserve">Quotation Estimate</w:t>
      </w:r>
      <w:r>
        <w:t xml:space="preserve"> </w:t>
      </w:r>
      <w:r>
        <w:t xml:space="preserve">is the property of Meridian Audit &amp; Advisory Sdn. Bhd. and is intended solely for the named client in</w:t>
      </w:r>
      <w:r>
        <w:t xml:space="preserve"> </w:t>
      </w:r>
      <w:r>
        <w:t xml:space="preserve">Malaysia Kuala Lumpur</w:t>
      </w:r>
      <w:r>
        <w:t xml:space="preserve">. Unauthorized reproduction or distribution is prohibited.</w:t>
      </w:r>
    </w:p>
    <w:p>
      <w:pPr>
        <w:pStyle w:val="BodyText"/>
      </w:pPr>
      <w:r>
        <w:t xml:space="preserve">Document Reference: QTE-2025-KL-0847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Malaysia Kuala Lumpur</dc:title>
  <dc:creator/>
  <dc:language>en</dc:language>
  <cp:keywords/>
  <dcterms:created xsi:type="dcterms:W3CDTF">2026-10-10T04:08:24Z</dcterms:created>
  <dcterms:modified xsi:type="dcterms:W3CDTF">2026-10-10T04:08:24Z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