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Morocco</w:t>
      </w:r>
      <w:r>
        <w:t xml:space="preserve"> </w:t>
      </w:r>
      <w:r>
        <w:t xml:space="preserve">Casablanca</w:t>
      </w:r>
    </w:p>
    <w:bookmarkStart w:id="20" w:name="quotation-estimate"/>
    <w:p>
      <w:pPr>
        <w:pStyle w:val="Heading1"/>
      </w:pPr>
      <w:r>
        <w:t xml:space="preserve">Quotation Estimate</w:t>
      </w:r>
    </w:p>
    <w:p>
      <w:pPr>
        <w:pStyle w:val="FirstParagraph"/>
      </w:pPr>
      <w:r>
        <w:rPr>
          <w:bCs/>
          <w:b/>
        </w:rPr>
        <w:t xml:space="preserve">Atlas Audit &amp; Advisory Partners SARL</w:t>
      </w:r>
    </w:p>
    <w:p>
      <w:pPr>
        <w:pStyle w:val="BodyText"/>
      </w:pPr>
      <w:r>
        <w:t xml:space="preserve">12 Boulevard Mohammed V, Quartier Gauthier, 20000 Casablanca, Morocco</w:t>
      </w:r>
    </w:p>
    <w:p>
      <w:pPr>
        <w:pStyle w:val="BodyText"/>
      </w:pPr>
      <w:r>
        <w:t xml:space="preserve">Tel: +212 522-345-678 | Email: quotations@atlasaudit.ma | RC: 456789 Casablanca</w:t>
      </w:r>
    </w:p>
    <w:p>
      <w:pPr>
        <w:pStyle w:val="BodyText"/>
      </w:pPr>
      <w:r>
        <w:t xml:space="preserve">ICE: 002345678000091 | IF: 41234567</w:t>
      </w:r>
    </w:p>
    <w:bookmarkEnd w:id="20"/>
    <w:p>
      <w:pPr>
        <w:pStyle w:val="BodyText"/>
      </w:pPr>
      <w:r>
        <w:rPr>
          <w:bCs/>
          <w:b/>
        </w:rPr>
        <w:t xml:space="preserve">Quotation Estimate No.:</w:t>
      </w:r>
      <w:r>
        <w:t xml:space="preserve"> </w:t>
      </w:r>
      <w:r>
        <w:t xml:space="preserve">QTE-2025-CAS-0487</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Name / Company]</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by Atlas Audit &amp; Advisory Partners SARL, a certified and independent firm operating in</w:t>
      </w:r>
      <w:r>
        <w:t xml:space="preserve"> </w:t>
      </w:r>
      <w:r>
        <w:t xml:space="preserve">Morocco Casablanca</w:t>
      </w:r>
      <w:r>
        <w:t xml:space="preserve">, to provide a comprehensive and transparent breakdown of professional fees for the engagement of a qualified</w:t>
      </w:r>
      <w:r>
        <w:t xml:space="preserve"> </w:t>
      </w:r>
      <w:r>
        <w:t xml:space="preserve">Auditor</w:t>
      </w:r>
      <w:r>
        <w:t xml:space="preserve"> </w:t>
      </w:r>
      <w:r>
        <w:t xml:space="preserve">to perform statutory and internal audit services on behalf of the client. This document serves as a binding financial proposal and outlines the full scope of work, deliverables, timelines, and associated costs for the proposed</w:t>
      </w:r>
      <w:r>
        <w:t xml:space="preserve"> </w:t>
      </w:r>
      <w:r>
        <w:t xml:space="preserve">Auditor</w:t>
      </w:r>
      <w:r>
        <w:t xml:space="preserve"> </w:t>
      </w:r>
      <w:r>
        <w:t xml:space="preserve">engagement. All figures presented herein are expressed in Moroccan Dirhams (MAD) and are inclusive of applicable Value Added Tax (VAT) at the current rate of 20% as mandated by the Moroccan General Tax Code.</w:t>
      </w:r>
    </w:p>
    <w:bookmarkEnd w:id="21"/>
    <w:bookmarkStart w:id="22" w:name="X37822da3a547da54f6f89c0ad01491e9972d66d"/>
    <w:p>
      <w:pPr>
        <w:pStyle w:val="Heading2"/>
      </w:pPr>
      <w:r>
        <w:t xml:space="preserve">2. Scope of Auditor Services in Morocco Casablanca</w:t>
      </w:r>
    </w:p>
    <w:p>
      <w:pPr>
        <w:pStyle w:val="FirstParagraph"/>
      </w:pPr>
      <w:r>
        <w:t xml:space="preserve">The proposed</w:t>
      </w:r>
      <w:r>
        <w:t xml:space="preserve"> </w:t>
      </w:r>
      <w:r>
        <w:t xml:space="preserve">Auditor</w:t>
      </w:r>
      <w:r>
        <w:t xml:space="preserve"> </w:t>
      </w:r>
      <w:r>
        <w:t xml:space="preserve">engagement covers the following professional services to be delivered at the client's premises located in the Casablanca metropolitan area, as well as at our firm's offices in the Gauthier district of</w:t>
      </w:r>
      <w:r>
        <w:t xml:space="preserve"> </w:t>
      </w:r>
      <w:r>
        <w:t xml:space="preserve">Morocco Casablanca</w:t>
      </w:r>
      <w:r>
        <w:t xml:space="preserve">:</w:t>
      </w:r>
    </w:p>
    <w:p>
      <w:pPr>
        <w:numPr>
          <w:ilvl w:val="0"/>
          <w:numId w:val="1001"/>
        </w:numPr>
        <w:pStyle w:val="Compact"/>
      </w:pPr>
      <w:r>
        <w:rPr>
          <w:bCs/>
          <w:b/>
        </w:rPr>
        <w:t xml:space="preserve">Statutory Financial Audit:</w:t>
      </w:r>
      <w:r>
        <w:t xml:space="preserve"> </w:t>
      </w:r>
      <w:r>
        <w:t xml:space="preserve">Full examination of the annual financial statements in compliance with Moroccan accounting standards (PCG) and International Financial Reporting Standards (IFRS) as adopted in Morocco.</w:t>
      </w:r>
    </w:p>
    <w:p>
      <w:pPr>
        <w:numPr>
          <w:ilvl w:val="0"/>
          <w:numId w:val="1001"/>
        </w:numPr>
        <w:pStyle w:val="Compact"/>
      </w:pPr>
      <w:r>
        <w:rPr>
          <w:bCs/>
          <w:b/>
        </w:rPr>
        <w:t xml:space="preserve">Internal Control Assessment:</w:t>
      </w:r>
      <w:r>
        <w:t xml:space="preserve"> </w:t>
      </w:r>
      <w:r>
        <w:t xml:space="preserve">Evaluation of the client's internal control framework, risk management systems, and governance structures in alignment with Moroccan regulatory requirements.</w:t>
      </w:r>
    </w:p>
    <w:p>
      <w:pPr>
        <w:numPr>
          <w:ilvl w:val="0"/>
          <w:numId w:val="1001"/>
        </w:numPr>
        <w:pStyle w:val="Compact"/>
      </w:pPr>
      <w:r>
        <w:rPr>
          <w:bCs/>
          <w:b/>
        </w:rPr>
        <w:t xml:space="preserve">Compliance Review:</w:t>
      </w:r>
      <w:r>
        <w:t xml:space="preserve"> </w:t>
      </w:r>
      <w:r>
        <w:t xml:space="preserve">Verification of adherence to Moroccan commercial law, tax obligations, social security contributions (CNSS), and sector-specific regulatory mandates applicable in</w:t>
      </w:r>
      <w:r>
        <w:t xml:space="preserve"> </w:t>
      </w:r>
      <w:r>
        <w:t xml:space="preserve">Morocco Casablanca</w:t>
      </w:r>
      <w:r>
        <w:t xml:space="preserve">.</w:t>
      </w:r>
    </w:p>
    <w:p>
      <w:pPr>
        <w:numPr>
          <w:ilvl w:val="0"/>
          <w:numId w:val="1001"/>
        </w:numPr>
        <w:pStyle w:val="Compact"/>
      </w:pPr>
      <w:r>
        <w:rPr>
          <w:bCs/>
          <w:b/>
        </w:rPr>
        <w:t xml:space="preserve">Management Letter and Recommendations:</w:t>
      </w:r>
      <w:r>
        <w:t xml:space="preserve"> </w:t>
      </w:r>
      <w:r>
        <w:t xml:space="preserve">Delivery of a detailed report identifying findings, material weaknesses, and actionable recommendations for operational improvement.</w:t>
      </w:r>
    </w:p>
    <w:p>
      <w:pPr>
        <w:numPr>
          <w:ilvl w:val="0"/>
          <w:numId w:val="1001"/>
        </w:numPr>
        <w:pStyle w:val="Compact"/>
      </w:pPr>
      <w:r>
        <w:rPr>
          <w:bCs/>
          <w:b/>
        </w:rPr>
        <w:t xml:space="preserve">Board of Directors Reporting:</w:t>
      </w:r>
      <w:r>
        <w:t xml:space="preserve"> </w:t>
      </w:r>
      <w:r>
        <w:t xml:space="preserve">Preparation of the statutory</w:t>
      </w:r>
      <w:r>
        <w:t xml:space="preserve"> </w:t>
      </w:r>
      <w:r>
        <w:t xml:space="preserve">Auditor</w:t>
      </w:r>
      <w:r>
        <w:t xml:space="preserve"> </w:t>
      </w:r>
      <w:r>
        <w:t xml:space="preserve">report (Rapport du Commissaire aux Comptes) for presentation to the shareholders' general assembly.</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Cost (MAD)</w:t>
            </w:r>
          </w:p>
        </w:tc>
        <w:tc>
          <w:tcPr/>
          <w:p>
            <w:pPr>
              <w:pStyle w:val="Compact"/>
              <w:jc w:val="left"/>
            </w:pPr>
            <w:r>
              <w:t xml:space="preserve">Quantity</w:t>
            </w:r>
          </w:p>
        </w:tc>
        <w:tc>
          <w:tcPr/>
          <w:p>
            <w:pPr>
              <w:pStyle w:val="Compact"/>
              <w:jc w:val="left"/>
            </w:pPr>
            <w:r>
              <w:t xml:space="preserve">Total (MAD)</w:t>
            </w:r>
          </w:p>
        </w:tc>
      </w:tr>
      <w:tr>
        <w:tc>
          <w:tcPr/>
          <w:p>
            <w:pPr>
              <w:pStyle w:val="Compact"/>
              <w:jc w:val="left"/>
            </w:pPr>
            <w:r>
              <w:t xml:space="preserve">01</w:t>
            </w:r>
          </w:p>
        </w:tc>
        <w:tc>
          <w:tcPr/>
          <w:p>
            <w:pPr>
              <w:pStyle w:val="Compact"/>
              <w:jc w:val="left"/>
            </w:pPr>
            <w:r>
              <w:t xml:space="preserve">Statutory Financial Audit – Annual Cycle</w:t>
            </w:r>
          </w:p>
        </w:tc>
        <w:tc>
          <w:tcPr/>
          <w:p>
            <w:pPr>
              <w:pStyle w:val="Compact"/>
              <w:jc w:val="left"/>
            </w:pPr>
            <w:r>
              <w:t xml:space="preserve">6 weeks</w:t>
            </w:r>
          </w:p>
        </w:tc>
        <w:tc>
          <w:tcPr/>
          <w:p>
            <w:pPr>
              <w:pStyle w:val="Compact"/>
              <w:jc w:val="left"/>
            </w:pPr>
            <w:r>
              <w:t xml:space="preserve">185,000.00</w:t>
            </w:r>
          </w:p>
        </w:tc>
        <w:tc>
          <w:tcPr/>
          <w:p>
            <w:pPr>
              <w:pStyle w:val="Compact"/>
              <w:jc w:val="left"/>
            </w:pPr>
            <w:r>
              <w:t xml:space="preserve">1</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Internal Control &amp; Risk Assessment</w:t>
            </w:r>
          </w:p>
        </w:tc>
        <w:tc>
          <w:tcPr/>
          <w:p>
            <w:pPr>
              <w:pStyle w:val="Compact"/>
              <w:jc w:val="left"/>
            </w:pPr>
            <w:r>
              <w:t xml:space="preserve">3 weeks</w:t>
            </w:r>
          </w:p>
        </w:tc>
        <w:tc>
          <w:tcPr/>
          <w:p>
            <w:pPr>
              <w:pStyle w:val="Compact"/>
              <w:jc w:val="left"/>
            </w:pPr>
            <w:r>
              <w:t xml:space="preserve">95,000.00</w:t>
            </w:r>
          </w:p>
        </w:tc>
        <w:tc>
          <w:tcPr/>
          <w:p>
            <w:pPr>
              <w:pStyle w:val="Compact"/>
              <w:jc w:val="left"/>
            </w:pPr>
            <w:r>
              <w:t xml:space="preserve">1</w:t>
            </w:r>
          </w:p>
        </w:tc>
        <w:tc>
          <w:tcPr/>
          <w:p>
            <w:pPr>
              <w:pStyle w:val="Compact"/>
              <w:jc w:val="left"/>
            </w:pPr>
            <w:r>
              <w:t xml:space="preserve">95,000.00</w:t>
            </w:r>
          </w:p>
        </w:tc>
      </w:tr>
      <w:tr>
        <w:tc>
          <w:tcPr/>
          <w:p>
            <w:pPr>
              <w:pStyle w:val="Compact"/>
              <w:jc w:val="left"/>
            </w:pPr>
            <w:r>
              <w:t xml:space="preserve">03</w:t>
            </w:r>
          </w:p>
        </w:tc>
        <w:tc>
          <w:tcPr/>
          <w:p>
            <w:pPr>
              <w:pStyle w:val="Compact"/>
              <w:jc w:val="left"/>
            </w:pPr>
            <w:r>
              <w:t xml:space="preserve">Tax &amp; Regulatory Compliance Review (Casablanca jurisdiction)</w:t>
            </w:r>
          </w:p>
        </w:tc>
        <w:tc>
          <w:tcPr/>
          <w:p>
            <w:pPr>
              <w:pStyle w:val="Compact"/>
              <w:jc w:val="left"/>
            </w:pPr>
            <w:r>
              <w:t xml:space="preserve">2 weeks</w:t>
            </w:r>
          </w:p>
        </w:tc>
        <w:tc>
          <w:tcPr/>
          <w:p>
            <w:pPr>
              <w:pStyle w:val="Compact"/>
              <w:jc w:val="left"/>
            </w:pPr>
            <w:r>
              <w:t xml:space="preserve">62,000.00</w:t>
            </w:r>
          </w:p>
        </w:tc>
        <w:tc>
          <w:tcPr/>
          <w:p>
            <w:pPr>
              <w:pStyle w:val="Compact"/>
              <w:jc w:val="left"/>
            </w:pPr>
            <w:r>
              <w:t xml:space="preserve">1</w:t>
            </w:r>
          </w:p>
        </w:tc>
        <w:tc>
          <w:tcPr/>
          <w:p>
            <w:pPr>
              <w:pStyle w:val="Compact"/>
              <w:jc w:val="left"/>
            </w:pPr>
            <w:r>
              <w:t xml:space="preserve">62,000.00</w:t>
            </w:r>
          </w:p>
        </w:tc>
      </w:tr>
      <w:tr>
        <w:tc>
          <w:tcPr/>
          <w:p>
            <w:pPr>
              <w:pStyle w:val="Compact"/>
              <w:jc w:val="left"/>
            </w:pPr>
            <w:r>
              <w:t xml:space="preserve">04</w:t>
            </w:r>
          </w:p>
        </w:tc>
        <w:tc>
          <w:tcPr/>
          <w:p>
            <w:pPr>
              <w:pStyle w:val="Compact"/>
              <w:jc w:val="left"/>
            </w:pPr>
            <w:r>
              <w:t xml:space="preserve">Management Letter &amp; Advisory Recommendations</w:t>
            </w:r>
          </w:p>
        </w:tc>
        <w:tc>
          <w:tcPr/>
          <w:p>
            <w:pPr>
              <w:pStyle w:val="Compact"/>
              <w:jc w:val="left"/>
            </w:pPr>
            <w:r>
              <w:t xml:space="preserve">1 week</w:t>
            </w:r>
          </w:p>
        </w:tc>
        <w:tc>
          <w:tcPr/>
          <w:p>
            <w:pPr>
              <w:pStyle w:val="Compact"/>
              <w:jc w:val="left"/>
            </w:pPr>
            <w:r>
              <w:t xml:space="preserve">38,000.00</w:t>
            </w:r>
          </w:p>
        </w:tc>
        <w:tc>
          <w:tcPr/>
          <w:p>
            <w:pPr>
              <w:pStyle w:val="Compact"/>
              <w:jc w:val="left"/>
            </w:pPr>
            <w:r>
              <w:t xml:space="preserve">1</w:t>
            </w:r>
          </w:p>
        </w:tc>
        <w:tc>
          <w:tcPr/>
          <w:p>
            <w:pPr>
              <w:pStyle w:val="Compact"/>
              <w:jc w:val="left"/>
            </w:pPr>
            <w:r>
              <w:t xml:space="preserve">38,000.00</w:t>
            </w:r>
          </w:p>
        </w:tc>
      </w:tr>
      <w:tr>
        <w:tc>
          <w:tcPr/>
          <w:p>
            <w:pPr>
              <w:pStyle w:val="Compact"/>
              <w:jc w:val="left"/>
            </w:pPr>
            <w:r>
              <w:t xml:space="preserve">05</w:t>
            </w:r>
          </w:p>
        </w:tc>
        <w:tc>
          <w:tcPr/>
          <w:p>
            <w:pPr>
              <w:pStyle w:val="Compact"/>
              <w:jc w:val="left"/>
            </w:pPr>
            <w:r>
              <w:t xml:space="preserve">Board Reporting &amp; Shareholders' Assembly Support</w:t>
            </w:r>
          </w:p>
        </w:tc>
        <w:tc>
          <w:tcPr/>
          <w:p>
            <w:pPr>
              <w:pStyle w:val="Compact"/>
              <w:jc w:val="left"/>
            </w:pPr>
            <w:r>
              <w:t xml:space="preserve">1 week</w:t>
            </w:r>
          </w:p>
        </w:tc>
        <w:tc>
          <w:tcPr/>
          <w:p>
            <w:pPr>
              <w:pStyle w:val="Compact"/>
              <w:jc w:val="left"/>
            </w:pPr>
            <w:r>
              <w:t xml:space="preserve">27,000.00</w:t>
            </w:r>
          </w:p>
        </w:tc>
        <w:tc>
          <w:tcPr/>
          <w:p>
            <w:pPr>
              <w:pStyle w:val="Compact"/>
              <w:jc w:val="left"/>
            </w:pPr>
            <w:r>
              <w:t xml:space="preserve">1</w:t>
            </w:r>
          </w:p>
        </w:tc>
        <w:tc>
          <w:tcPr/>
          <w:p>
            <w:pPr>
              <w:pStyle w:val="Compact"/>
              <w:jc w:val="left"/>
            </w:pPr>
            <w:r>
              <w:t xml:space="preserve">27,000.00</w:t>
            </w:r>
          </w:p>
        </w:tc>
      </w:tr>
      <w:tr>
        <w:tc>
          <w:tcPr/>
          <w:p>
            <w:pPr>
              <w:pStyle w:val="Compact"/>
              <w:jc w:val="left"/>
            </w:pPr>
            <w:r>
              <w:t xml:space="preserve">06</w:t>
            </w:r>
          </w:p>
        </w:tc>
        <w:tc>
          <w:tcPr/>
          <w:p>
            <w:pPr>
              <w:pStyle w:val="Compact"/>
              <w:jc w:val="left"/>
            </w:pPr>
            <w:r>
              <w:t xml:space="preserve">Travel &amp; On-site Expenses within Casablanca</w:t>
            </w:r>
          </w:p>
        </w:tc>
        <w:tc>
          <w:tcPr/>
          <w:p>
            <w:pPr>
              <w:pStyle w:val="Compact"/>
              <w:jc w:val="left"/>
            </w:pPr>
            <w:r>
              <w:t xml:space="preserve">As incurred</w:t>
            </w:r>
          </w:p>
        </w:tc>
        <w:tc>
          <w:tcPr/>
          <w:p>
            <w:pPr>
              <w:pStyle w:val="Compact"/>
              <w:jc w:val="left"/>
            </w:pPr>
            <w:r>
              <w:t xml:space="preserve">12,000.00</w:t>
            </w:r>
          </w:p>
        </w:tc>
        <w:tc>
          <w:tcPr/>
          <w:p>
            <w:pPr>
              <w:pStyle w:val="Compact"/>
              <w:jc w:val="left"/>
            </w:pPr>
            <w:r>
              <w:t xml:space="preserve">1</w:t>
            </w:r>
          </w:p>
        </w:tc>
        <w:tc>
          <w:tcPr/>
          <w:p>
            <w:pPr>
              <w:pStyle w:val="Compact"/>
              <w:jc w:val="left"/>
            </w:pPr>
            <w:r>
              <w:t xml:space="preserve">12,000.00</w:t>
            </w:r>
          </w:p>
        </w:tc>
      </w:tr>
      <w:tr>
        <w:tc>
          <w:tcPr/>
          <w:p>
            <w:pPr>
              <w:pStyle w:val="Compact"/>
              <w:jc w:val="left"/>
            </w:pPr>
            <w:r>
              <w:t xml:space="preserve">07</w:t>
            </w:r>
          </w:p>
        </w:tc>
        <w:tc>
          <w:tcPr/>
          <w:p>
            <w:pPr>
              <w:pStyle w:val="Compact"/>
              <w:jc w:val="left"/>
            </w:pPr>
            <w:r>
              <w:t xml:space="preserve">Project Management &amp; Quality Review (Senior Auditor oversight)</w:t>
            </w:r>
          </w:p>
        </w:tc>
        <w:tc>
          <w:tcPr/>
          <w:p>
            <w:pPr>
              <w:pStyle w:val="Compact"/>
              <w:jc w:val="left"/>
            </w:pPr>
            <w:r>
              <w:t xml:space="preserve">12 weeks</w:t>
            </w:r>
          </w:p>
        </w:tc>
        <w:tc>
          <w:tcPr/>
          <w:p>
            <w:pPr>
              <w:pStyle w:val="Compact"/>
              <w:jc w:val="left"/>
            </w:pPr>
            <w:r>
              <w:t xml:space="preserve">45,000.00</w:t>
            </w:r>
          </w:p>
        </w:tc>
        <w:tc>
          <w:tcPr/>
          <w:p>
            <w:pPr>
              <w:pStyle w:val="Compact"/>
              <w:jc w:val="left"/>
            </w:pPr>
            <w:r>
              <w:t xml:space="preserve">1</w:t>
            </w:r>
          </w:p>
        </w:tc>
        <w:tc>
          <w:tcPr/>
          <w:p>
            <w:pPr>
              <w:pStyle w:val="Compact"/>
              <w:jc w:val="left"/>
            </w:pPr>
            <w:r>
              <w:t xml:space="preserve">45,000.00</w:t>
            </w:r>
          </w:p>
        </w:tc>
      </w:tr>
      <w:tr>
        <w:tc>
          <w:tcPr>
            <w:gridSpan w:val="5"/>
          </w:tcPr>
          <w:p>
            <w:pPr>
              <w:pStyle w:val="Compact"/>
              <w:jc w:val="left"/>
            </w:pPr>
            <w:r>
              <w:t xml:space="preserve">Subtotal (Excluding VAT)</w:t>
            </w:r>
          </w:p>
        </w:tc>
        <w:tc>
          <w:tcPr/>
          <w:p>
            <w:pPr>
              <w:pStyle w:val="Compact"/>
              <w:jc w:val="left"/>
            </w:pPr>
            <w:r>
              <w:t xml:space="preserve">464,000.00</w:t>
            </w:r>
          </w:p>
        </w:tc>
      </w:tr>
      <w:tr>
        <w:tc>
          <w:tcPr>
            <w:gridSpan w:val="5"/>
          </w:tcPr>
          <w:p>
            <w:pPr>
              <w:pStyle w:val="Compact"/>
              <w:jc w:val="left"/>
            </w:pPr>
            <w:r>
              <w:t xml:space="preserve">VAT @ 20% (Moroccan Tax Code)</w:t>
            </w:r>
          </w:p>
        </w:tc>
        <w:tc>
          <w:tcPr/>
          <w:p>
            <w:pPr>
              <w:pStyle w:val="Compact"/>
              <w:jc w:val="left"/>
            </w:pPr>
            <w:r>
              <w:t xml:space="preserve">92,800.00</w:t>
            </w:r>
          </w:p>
        </w:tc>
      </w:tr>
      <w:tr>
        <w:tc>
          <w:tcPr>
            <w:gridSpan w:val="5"/>
          </w:tcPr>
          <w:p>
            <w:pPr>
              <w:pStyle w:val="Compact"/>
              <w:jc w:val="left"/>
            </w:pPr>
            <w:r>
              <w:t xml:space="preserve">Grand Total (Including VAT)</w:t>
            </w:r>
          </w:p>
        </w:tc>
        <w:tc>
          <w:tcPr/>
          <w:p>
            <w:pPr>
              <w:pStyle w:val="Compact"/>
              <w:jc w:val="left"/>
            </w:pPr>
            <w:r>
              <w:t xml:space="preserve">556,800.00 MAD</w:t>
            </w:r>
          </w:p>
        </w:tc>
      </w:tr>
    </w:tbl>
    <w:bookmarkEnd w:id="23"/>
    <w:bookmarkStart w:id="24" w:name="X985eb999f0cfcda5f1af1a675bf0b7c2e0a6c64"/>
    <w:p>
      <w:pPr>
        <w:pStyle w:val="Heading2"/>
      </w:pPr>
      <w:r>
        <w:t xml:space="preserve">4. Terms and Conditions of This Quotation Estimate</w:t>
      </w:r>
    </w:p>
    <w:p>
      <w:pPr>
        <w:numPr>
          <w:ilvl w:val="0"/>
          <w:numId w:val="1002"/>
        </w:numPr>
        <w:pStyle w:val="Compact"/>
      </w:pPr>
      <w:r>
        <w:t xml:space="preserve">This</w:t>
      </w:r>
      <w:r>
        <w:t xml:space="preserve"> </w:t>
      </w:r>
      <w:r>
        <w:t xml:space="preserve">Quotation Estimate</w:t>
      </w:r>
      <w:r>
        <w:t xml:space="preserve"> </w:t>
      </w:r>
      <w:r>
        <w:t xml:space="preserve">is valid for a period of thirty (30) calendar days from the date of issue. Beyond this period, fees may be subject to revision based on market conditions and resource availability in</w:t>
      </w:r>
      <w:r>
        <w:t xml:space="preserve"> </w:t>
      </w:r>
      <w:r>
        <w:t xml:space="preserve">Morocco Casablanca</w:t>
      </w:r>
      <w:r>
        <w:t xml:space="preserve">.</w:t>
      </w:r>
    </w:p>
    <w:p>
      <w:pPr>
        <w:numPr>
          <w:ilvl w:val="0"/>
          <w:numId w:val="1002"/>
        </w:numPr>
        <w:pStyle w:val="Compact"/>
      </w:pPr>
      <w:r>
        <w:t xml:space="preserve">Payment terms: 40% advance upon contract signing, 40% upon delivery of the draft</w:t>
      </w:r>
      <w:r>
        <w:t xml:space="preserve"> </w:t>
      </w:r>
      <w:r>
        <w:t xml:space="preserve">Auditor</w:t>
      </w:r>
      <w:r>
        <w:t xml:space="preserve"> </w:t>
      </w:r>
      <w:r>
        <w:t xml:space="preserve">report, and 20% upon final acceptance and issuance of the statutory report.</w:t>
      </w:r>
    </w:p>
    <w:p>
      <w:pPr>
        <w:numPr>
          <w:ilvl w:val="0"/>
          <w:numId w:val="1002"/>
        </w:numPr>
        <w:pStyle w:val="Compact"/>
      </w:pPr>
      <w:r>
        <w:t xml:space="preserve">All payments shall be made via bank transfer to the firm's account at Bank of Africa, Casablanca branch (RIB: 007 600 0001234567890 12).</w:t>
      </w:r>
    </w:p>
    <w:p>
      <w:pPr>
        <w:numPr>
          <w:ilvl w:val="0"/>
          <w:numId w:val="1002"/>
        </w:numPr>
        <w:pStyle w:val="Compact"/>
      </w:pPr>
      <w:r>
        <w:t xml:space="preserve">The</w:t>
      </w:r>
      <w:r>
        <w:t xml:space="preserve"> </w:t>
      </w:r>
      <w:r>
        <w:t xml:space="preserve">Auditor</w:t>
      </w:r>
      <w:r>
        <w:t xml:space="preserve"> </w:t>
      </w:r>
      <w:r>
        <w:t xml:space="preserve">shall maintain strict professional independence and confidentiality in accordance with the Code of Ethics of the Moroccan Order of Chartered Accountants (OEC) and International Standards on Auditing (ISA).</w:t>
      </w:r>
    </w:p>
    <w:p>
      <w:pPr>
        <w:numPr>
          <w:ilvl w:val="0"/>
          <w:numId w:val="1002"/>
        </w:numPr>
        <w:pStyle w:val="Compact"/>
      </w:pPr>
      <w:r>
        <w:t xml:space="preserve">Any additional services beyond the scope defined in this</w:t>
      </w:r>
      <w:r>
        <w:t xml:space="preserve"> </w:t>
      </w:r>
      <w:r>
        <w:t xml:space="preserve">Quotation Estimate</w:t>
      </w:r>
      <w:r>
        <w:t xml:space="preserve"> </w:t>
      </w:r>
      <w:r>
        <w:t xml:space="preserve">shall be subject to a separate written amendment and additional fee schedule.</w:t>
      </w:r>
    </w:p>
    <w:p>
      <w:pPr>
        <w:numPr>
          <w:ilvl w:val="0"/>
          <w:numId w:val="1002"/>
        </w:numPr>
        <w:pStyle w:val="Compact"/>
      </w:pPr>
      <w:r>
        <w:t xml:space="preserve">The client agrees to provide timely access to all financial records, systems, and personnel necessary for the</w:t>
      </w:r>
      <w:r>
        <w:t xml:space="preserve"> </w:t>
      </w:r>
      <w:r>
        <w:t xml:space="preserve">Auditor</w:t>
      </w:r>
      <w:r>
        <w:t xml:space="preserve"> </w:t>
      </w:r>
      <w:r>
        <w:t xml:space="preserve">to perform the engagement without undue delay.</w:t>
      </w:r>
    </w:p>
    <w:p>
      <w:pPr>
        <w:numPr>
          <w:ilvl w:val="0"/>
          <w:numId w:val="1002"/>
        </w:numPr>
        <w:pStyle w:val="Compact"/>
      </w:pPr>
      <w:r>
        <w:t xml:space="preserve">Disputes arising from this engagement shall be resolved through amicable negotiation, failing which they shall be submitted to the competent commercial courts of Casablanca, Morocco.</w:t>
      </w:r>
    </w:p>
    <w:p>
      <w:pPr>
        <w:pStyle w:val="FirstParagraph"/>
      </w:pPr>
      <w:r>
        <w:rPr>
          <w:bCs/>
          <w:b/>
        </w:rPr>
        <w:t xml:space="preserve">Note:</w:t>
      </w:r>
      <w:r>
        <w:t xml:space="preserve"> </w:t>
      </w:r>
      <w:r>
        <w:t xml:space="preserve">This Quotation Estimate does not constitute a final contract. A formal engagement letter, signed by both parties, must be executed prior to the commencement of any</w:t>
      </w:r>
      <w:r>
        <w:t xml:space="preserve"> </w:t>
      </w:r>
      <w:r>
        <w:t xml:space="preserve">Auditor</w:t>
      </w:r>
      <w:r>
        <w:t xml:space="preserve"> </w:t>
      </w:r>
      <w:r>
        <w:t xml:space="preserve">fieldwork. The firm reserves the right to decline the engagement if independence or objectivity cannot be assured under the standards governing professional practice in Morocco.</w:t>
      </w:r>
    </w:p>
    <w:bookmarkEnd w:id="24"/>
    <w:bookmarkStart w:id="25" w:name="acceptance-and-authorization"/>
    <w:p>
      <w:pPr>
        <w:pStyle w:val="Heading2"/>
      </w:pPr>
      <w:r>
        <w:t xml:space="preserve">5.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agrees to the terms, scope, and fees outlined herein for the proposed</w:t>
      </w:r>
      <w:r>
        <w:t xml:space="preserve"> </w:t>
      </w:r>
      <w:r>
        <w:t xml:space="preserve">Auditor</w:t>
      </w:r>
      <w:r>
        <w:t xml:space="preserve"> </w:t>
      </w:r>
      <w:r>
        <w:t xml:space="preserve">services to be performed in</w:t>
      </w:r>
      <w:r>
        <w:t xml:space="preserve"> </w:t>
      </w:r>
      <w:r>
        <w:t xml:space="preserve">Morocco Casablanca</w:t>
      </w:r>
      <w:r>
        <w:t xml:space="preserve">.</w:t>
      </w:r>
    </w:p>
    <w:p>
      <w:pPr>
        <w:pStyle w:val="BodyText"/>
      </w:pPr>
      <w:r>
        <w:rPr>
          <w:bCs/>
          <w:b/>
        </w:rPr>
        <w:t xml:space="preserve">For Atlas Audit &amp; Advisory Partners SARL</w:t>
      </w:r>
    </w:p>
    <w:p>
      <w:pPr>
        <w:pStyle w:val="BodyText"/>
      </w:pPr>
      <w:r>
        <w:t xml:space="preserve">Authorized Signatory / Lead Auditor</w:t>
      </w:r>
    </w:p>
    <w:p>
      <w:pPr>
        <w:pStyle w:val="BodyText"/>
      </w:pPr>
      <w:r>
        <w:t xml:space="preserve">Name: _________________________</w:t>
      </w:r>
      <w:r>
        <w:br/>
      </w:r>
      <w:r>
        <w:t xml:space="preserve">Date: _________________________</w:t>
      </w:r>
      <w:r>
        <w:br/>
      </w:r>
      <w:r>
        <w:t xml:space="preserve">Signature &amp; Stamp:</w:t>
      </w:r>
    </w:p>
    <w:p>
      <w:pPr>
        <w:pStyle w:val="BodyText"/>
      </w:pPr>
      <w:r>
        <w:rPr>
          <w:bCs/>
          <w:b/>
        </w:rPr>
        <w:t xml:space="preserve">For the Client</w:t>
      </w:r>
    </w:p>
    <w:p>
      <w:pPr>
        <w:pStyle w:val="BodyText"/>
      </w:pPr>
      <w:r>
        <w:t xml:space="preserve">Authorized Representative</w:t>
      </w:r>
    </w:p>
    <w:p>
      <w:pPr>
        <w:pStyle w:val="BodyText"/>
      </w:pPr>
      <w:r>
        <w:t xml:space="preserve">Name: _________________________</w:t>
      </w:r>
      <w:r>
        <w:br/>
      </w:r>
      <w:r>
        <w:t xml:space="preserve">Date: _________________________</w:t>
      </w:r>
      <w:r>
        <w:br/>
      </w:r>
      <w:r>
        <w:t xml:space="preserve">Signature &amp; Stamp:</w:t>
      </w:r>
    </w:p>
    <w:p>
      <w:pPr>
        <w:pStyle w:val="BodyText"/>
      </w:pPr>
      <w:r>
        <w:t xml:space="preserve">Atlas Audit &amp; Advisory Partners SARL | 12 Boulevard Mohammed V, Casablanca 20000, Morocco</w:t>
      </w:r>
    </w:p>
    <w:p>
      <w:pPr>
        <w:pStyle w:val="BodyText"/>
      </w:pPr>
      <w:r>
        <w:t xml:space="preserve">Quotation Estimate No. QTE-2025-CAS-0487 | Page 1 of 1 | Confidential Document</w:t>
      </w:r>
    </w:p>
    <w:p>
      <w:pPr>
        <w:pStyle w:val="BodyText"/>
      </w:pPr>
      <w:r>
        <w:t xml:space="preserve">This document is the property of Atlas Audit &amp; Advisory Partners SARL and may not be reproduced without written consent.</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Auditor Services - Morocco Casablanca</dc:title>
  <dc:creator/>
  <dc:language>en</dc:language>
  <cp:keywords/>
  <dcterms:created xsi:type="dcterms:W3CDTF">2026-10-10T03:37:45Z</dcterms:created>
  <dcterms:modified xsi:type="dcterms:W3CDTF">2026-10-10T03:37:45Z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