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Golden Pagoda Audit &amp; Advisory Services Co., Ltd.</w:t>
      </w:r>
    </w:p>
    <w:p>
      <w:pPr>
        <w:pStyle w:val="BodyText"/>
      </w:pPr>
      <w:r>
        <w:t xml:space="preserve">Level 12, Sule Tower, 111 Sule Avenue, Kyauktada Township, Yangon, Myanmar</w:t>
      </w:r>
    </w:p>
    <w:p>
      <w:pPr>
        <w:pStyle w:val="BodyText"/>
      </w:pPr>
      <w:r>
        <w:t xml:space="preserve">Tel: +95-9-795-123-456 | Email: info@goldenpagoda-audit.com.mm</w:t>
      </w:r>
    </w:p>
    <w:p>
      <w:pPr>
        <w:pStyle w:val="BodyText"/>
      </w:pPr>
      <w:r>
        <w:t xml:space="preserve">Company Registration No: 2015012345 | VAT Reg: 012345678</w:t>
      </w:r>
    </w:p>
    <w:bookmarkEnd w:id="20"/>
    <w:p>
      <w:pPr>
        <w:pStyle w:val="BodyText"/>
      </w:pPr>
      <w:r>
        <w:rPr>
          <w:bCs/>
          <w:b/>
        </w:rPr>
        <w:t xml:space="preserve">Quotation No:</w:t>
      </w:r>
      <w:r>
        <w:t xml:space="preserve"> </w:t>
      </w:r>
      <w:r>
        <w:t xml:space="preserve">QTE-2025-YGN-0487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Prepared For:</w:t>
      </w:r>
    </w:p>
    <w:p>
      <w:pPr>
        <w:pStyle w:val="BodyText"/>
      </w:pPr>
      <w:r>
        <w:t xml:space="preserve">Myanmar Yangon Industrial Development Co., Ltd.</w:t>
      </w:r>
    </w:p>
    <w:p>
      <w:pPr>
        <w:pStyle w:val="BodyText"/>
      </w:pPr>
      <w:r>
        <w:t xml:space="preserve">45 Anawrahta Road, Kamayut Township, Yangon, Myanmar</w:t>
      </w:r>
    </w:p>
    <w:p>
      <w:pPr>
        <w:pStyle w:val="BodyText"/>
      </w:pPr>
      <w:r>
        <w:t xml:space="preserve">Attn: Mr. Aung Kyaw Min, Finance Director</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Golden Pagoda Audit &amp; Advisory Services Co., Ltd. to provide a comprehensive and transparent cost breakdown for professional Auditor services to be rendered in Myanmar Yangon. This document serves as a binding financial proposal outlining the scope, deliverables, timelines, and associated fees for the engagement of a qualified Auditor to conduct statutory and internal audit procedures in accordance with the Myanmar Companies Law (2017), the Myanmar Accounting Standards, and the guidelines set forth by the Myanmar Institute of Accountants (MIA).</w:t>
      </w:r>
    </w:p>
    <w:p>
      <w:pPr>
        <w:pStyle w:val="BodyText"/>
      </w:pPr>
      <w:r>
        <w:t xml:space="preserve">The Auditor engagement described herein is specifically tailored to the operational and regulatory environment of Myanmar Yangon, taking into account the unique requirements imposed by the Myanmar Securities Exchange Commission (MSE), the Inland Revenue Department (IRD), and the Ministry of Commerce. This Quotation Estimate reflects current market rates for Auditor services in the Yangon metropolitan area as of the second quarter of 2025.</w:t>
      </w:r>
    </w:p>
    <w:bookmarkEnd w:id="21"/>
    <w:bookmarkStart w:id="22" w:name="scope-of-auditor-services"/>
    <w:p>
      <w:pPr>
        <w:pStyle w:val="Heading2"/>
      </w:pPr>
      <w:r>
        <w:t xml:space="preserve">2. Scope of Auditor Services</w:t>
      </w:r>
    </w:p>
    <w:p>
      <w:pPr>
        <w:pStyle w:val="FirstParagraph"/>
      </w:pPr>
      <w:r>
        <w:t xml:space="preserve">The Auditor engagement encompasses the following professional services to be executed in Myanmar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Statutory Annual Financial Audit of consolidated accounts for the fiscal year 2024–2025, conducted in compliance with Myanmar Companies Law Section 218 and MIA auditing standards.</w:t>
            </w:r>
          </w:p>
        </w:tc>
        <w:tc>
          <w:tcPr/>
          <w:p>
            <w:pPr>
              <w:pStyle w:val="Compact"/>
              <w:jc w:val="left"/>
            </w:pPr>
            <w:r>
              <w:t xml:space="preserve">45 days</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Internal Audit and Risk Assessment covering all operational divisions located in Yangon, including procurement, inventory management, and revenue cycles.</w:t>
            </w:r>
          </w:p>
        </w:tc>
        <w:tc>
          <w:tcPr/>
          <w:p>
            <w:pPr>
              <w:pStyle w:val="Compact"/>
              <w:jc w:val="left"/>
            </w:pPr>
            <w:r>
              <w:t xml:space="preserve">30 days</w:t>
            </w:r>
          </w:p>
        </w:tc>
        <w:tc>
          <w:tcPr/>
          <w:p>
            <w:pPr>
              <w:pStyle w:val="Compact"/>
              <w:jc w:val="left"/>
            </w:pPr>
            <w:r>
              <w:t xml:space="preserve">Project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Tax Compliance Audit and VAT reconciliation in accordance with the Myanmar Inland Revenue Department regulations applicable to entities registered in Yangon.</w:t>
            </w:r>
          </w:p>
        </w:tc>
        <w:tc>
          <w:tcPr/>
          <w:p>
            <w:pPr>
              <w:pStyle w:val="Compact"/>
              <w:jc w:val="left"/>
            </w:pPr>
            <w:r>
              <w:t xml:space="preserve">20 days</w:t>
            </w:r>
          </w:p>
        </w:tc>
        <w:tc>
          <w:tcPr/>
          <w:p>
            <w:pPr>
              <w:pStyle w:val="Compact"/>
              <w:jc w:val="left"/>
            </w:pPr>
            <w:r>
              <w:t xml:space="preserve">Project</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Forensic Audit and Fraud Investigation for suspected irregularities in the supply chain division, including site visits to warehouses in Hlaing and Thaketa townships, Yangon.</w:t>
            </w:r>
          </w:p>
        </w:tc>
        <w:tc>
          <w:tcPr/>
          <w:p>
            <w:pPr>
              <w:pStyle w:val="Compact"/>
              <w:jc w:val="left"/>
            </w:pPr>
            <w:r>
              <w:t xml:space="preserve">25 days</w:t>
            </w:r>
          </w:p>
        </w:tc>
        <w:tc>
          <w:tcPr/>
          <w:p>
            <w:pPr>
              <w:pStyle w:val="Compact"/>
              <w:jc w:val="left"/>
            </w:pPr>
            <w:r>
              <w:t xml:space="preserve">Project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Management Letter and Auditor's Report preparation, including recommendations for internal control improvements and regulatory compliance in Myanmar Yangon.</w:t>
            </w:r>
          </w:p>
        </w:tc>
        <w:tc>
          <w:tcPr/>
          <w:p>
            <w:pPr>
              <w:pStyle w:val="Compact"/>
              <w:jc w:val="left"/>
            </w:pPr>
            <w:r>
              <w:t xml:space="preserve">10 days</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Ad-hoc Auditor consultation and on-site support (up to 40 hours) for board meetings, regulatory filings, and stakeholder presentations in Yangon.</w:t>
            </w:r>
          </w:p>
        </w:tc>
        <w:tc>
          <w:tcPr/>
          <w:p>
            <w:pPr>
              <w:pStyle w:val="Compact"/>
              <w:jc w:val="left"/>
            </w:pPr>
            <w:r>
              <w:t xml:space="preserve">Ongoing</w:t>
            </w:r>
          </w:p>
        </w:tc>
        <w:tc>
          <w:tcPr/>
          <w:p>
            <w:pPr>
              <w:pStyle w:val="Compact"/>
              <w:jc w:val="left"/>
            </w:pPr>
            <w:r>
              <w:t xml:space="preserve">Hour</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Travel, accommodation, and local transportation costs for the Auditor team within Yangon and surrounding townships during the engagement period.</w:t>
            </w:r>
          </w:p>
        </w:tc>
        <w:tc>
          <w:tcPr/>
          <w:p>
            <w:pPr>
              <w:pStyle w:val="Compact"/>
              <w:jc w:val="left"/>
            </w:pPr>
            <w:r>
              <w:t xml:space="preserve">130 days</w:t>
            </w:r>
          </w:p>
        </w:tc>
        <w:tc>
          <w:tcPr/>
          <w:p>
            <w:pPr>
              <w:pStyle w:val="Compact"/>
              <w:jc w:val="left"/>
            </w:pPr>
            <w:r>
              <w:t xml:space="preserve">Project</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TOTAL QUOTATION ESTIMATE AMOUNT</w:t>
            </w:r>
          </w:p>
        </w:tc>
        <w:tc>
          <w:tcPr/>
          <w:p>
            <w:pPr>
              <w:pStyle w:val="Compact"/>
              <w:jc w:val="left"/>
            </w:pPr>
            <w:r>
              <w:t xml:space="preserve">45,700.00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Beyond this period, the Auditor service rates may be subject to revision based on prevailing economic conditions in Myanmar Yangon.</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payable in two equal installments: 30% upon completion of the statutory audit fieldwork and 30% upon delivery of the final Auditor's Report and Management Letter.</w:t>
      </w:r>
    </w:p>
    <w:p>
      <w:pPr>
        <w:numPr>
          <w:ilvl w:val="0"/>
          <w:numId w:val="1001"/>
        </w:numPr>
        <w:pStyle w:val="Compact"/>
      </w:pPr>
      <w:r>
        <w:rPr>
          <w:bCs/>
          <w:b/>
        </w:rPr>
        <w:t xml:space="preserve">Currency:</w:t>
      </w:r>
      <w:r>
        <w:t xml:space="preserve"> </w:t>
      </w:r>
      <w:r>
        <w:t xml:space="preserve">All amounts in this Quotation Estimate are quoted in United States Dollars (USD). Payment may be made in USD or Myanmar Kyat (MMK) at the prevailing Central Bank of Myanmar (CBM) exchange rate on the date of invoice.</w:t>
      </w:r>
    </w:p>
    <w:p>
      <w:pPr>
        <w:numPr>
          <w:ilvl w:val="0"/>
          <w:numId w:val="1001"/>
        </w:numPr>
        <w:pStyle w:val="Compact"/>
      </w:pPr>
      <w:r>
        <w:rPr>
          <w:bCs/>
          <w:b/>
        </w:rPr>
        <w:t xml:space="preserve">Confidentiality:</w:t>
      </w:r>
      <w:r>
        <w:t xml:space="preserve"> </w:t>
      </w:r>
      <w:r>
        <w:t xml:space="preserve">The Auditor team shall maintain strict confidentiality of all financial records, trade secrets, and proprietary information of the client in accordance with the Myanmar Data Protection Law and professional ethical standards of the MIA.</w:t>
      </w:r>
    </w:p>
    <w:p>
      <w:pPr>
        <w:numPr>
          <w:ilvl w:val="0"/>
          <w:numId w:val="1001"/>
        </w:numPr>
        <w:pStyle w:val="Compact"/>
      </w:pPr>
      <w:r>
        <w:rPr>
          <w:bCs/>
          <w:b/>
        </w:rPr>
        <w:t xml:space="preserve">Regulatory Compliance:</w:t>
      </w:r>
      <w:r>
        <w:t xml:space="preserve"> </w:t>
      </w:r>
      <w:r>
        <w:t xml:space="preserve">All Auditor procedures shall be conducted in full compliance with the Myanmar Companies Law (2017), the Myanmar Accounting Standards, and any applicable regulations of the Myanmar Securities Exchange Commission for entities operating in Yangon.</w:t>
      </w:r>
    </w:p>
    <w:p>
      <w:pPr>
        <w:numPr>
          <w:ilvl w:val="0"/>
          <w:numId w:val="1001"/>
        </w:numPr>
        <w:pStyle w:val="Compact"/>
      </w:pPr>
      <w:r>
        <w:rPr>
          <w:bCs/>
          <w:b/>
        </w:rPr>
        <w:t xml:space="preserve">Deliverables:</w:t>
      </w:r>
      <w:r>
        <w:t xml:space="preserve"> </w:t>
      </w:r>
      <w:r>
        <w:t xml:space="preserve">The Auditor shall deliver the signed Auditor's Report, Management Letter, Tax Compliance Certificate, and all supporting working papers within fifteen (15) business days of the completion of fieldwork.</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government-imposed restrictions, or regulatory changes in Myanmar Yangon.</w:t>
      </w:r>
    </w:p>
    <w:p>
      <w:pPr>
        <w:numPr>
          <w:ilvl w:val="0"/>
          <w:numId w:val="1001"/>
        </w:numPr>
        <w:pStyle w:val="Compact"/>
      </w:pPr>
      <w:r>
        <w:rPr>
          <w:bCs/>
          <w:b/>
        </w:rPr>
        <w:t xml:space="preserve">Governing Law:</w:t>
      </w:r>
      <w:r>
        <w:t xml:space="preserve"> </w:t>
      </w:r>
      <w:r>
        <w:t xml:space="preserve">This Quotation Estimate and the resulting engagement shall be governed by and construed in accordance with the laws of the Republic of the Union of Myanmar. Any disputes shall be resolved through arbitration in Yangon under the Myanmar Arbitration Centre.</w:t>
      </w:r>
    </w:p>
    <w:p>
      <w:pPr>
        <w:pStyle w:val="FirstParagraph"/>
      </w:pPr>
      <w:r>
        <w:rPr>
          <w:bCs/>
          <w:b/>
        </w:rPr>
        <w:t xml:space="preserve">Important Note:</w:t>
      </w:r>
      <w:r>
        <w:t xml:space="preserve"> </w:t>
      </w:r>
      <w:r>
        <w:t xml:space="preserve">This Quotation Estimate does not constitute a final contract. A formal Auditor Engagement Letter must be executed by both parties prior to the commencement of any audit procedures. The scope of work may be adjusted by mutual written agreement, and any such adjustments will be reflected in a supplementary Quotation Estimate addendum.</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Auditor services in Myanmar Yangon and agrees to the terms, conditions, and fee structure outlined herein. The engagement shall commence upon receipt of the advance payment and execution of the formal Auditor Engagement Letter.</w:t>
      </w:r>
    </w:p>
    <w:p>
      <w:pPr>
        <w:pStyle w:val="BodyText"/>
      </w:pPr>
      <w:r>
        <w:rPr>
          <w:bCs/>
          <w:b/>
        </w:rPr>
        <w:t xml:space="preserve">For and on behalf of:</w:t>
      </w:r>
      <w:r>
        <w:br/>
      </w:r>
      <w:r>
        <w:t xml:space="preserve">Golden Pagoda Audit &amp; Advisory Services Co., Ltd.</w:t>
      </w:r>
      <w:r>
        <w:br/>
      </w:r>
      <w:r>
        <w:t xml:space="preserve">(Auditor / Service Provider)</w:t>
      </w:r>
      <w:r>
        <w:br/>
      </w:r>
      <w:r>
        <w:br/>
      </w:r>
      <w:r>
        <w:t xml:space="preserve">Name: U Thura Win Aung</w:t>
      </w:r>
      <w:r>
        <w:br/>
      </w:r>
      <w:r>
        <w:t xml:space="preserve">Title: Managing Partner, CPA (MIA)</w:t>
      </w:r>
      <w:r>
        <w:br/>
      </w:r>
      <w:r>
        <w:t xml:space="preserve">Date: _______________</w:t>
      </w:r>
    </w:p>
    <w:p>
      <w:pPr>
        <w:pStyle w:val="BodyText"/>
      </w:pPr>
      <w:r>
        <w:rPr>
          <w:bCs/>
          <w:b/>
        </w:rPr>
        <w:t xml:space="preserve">For and on behalf of:</w:t>
      </w:r>
      <w:r>
        <w:br/>
      </w:r>
      <w:r>
        <w:t xml:space="preserve">Myanmar Yangon Industrial Development Co., Ltd.</w:t>
      </w:r>
      <w:r>
        <w:br/>
      </w:r>
      <w:r>
        <w:t xml:space="preserve">(Client / Accepting Party)</w:t>
      </w:r>
      <w:r>
        <w:br/>
      </w:r>
      <w:r>
        <w:br/>
      </w:r>
      <w:r>
        <w:t xml:space="preserve">Name: Mr. Aung Kyaw Min</w:t>
      </w:r>
      <w:r>
        <w:br/>
      </w:r>
      <w:r>
        <w:t xml:space="preserve">Title: Finance Director</w:t>
      </w:r>
      <w:r>
        <w:br/>
      </w:r>
      <w:r>
        <w:t xml:space="preserve">Date: _______________</w:t>
      </w:r>
    </w:p>
    <w:p>
      <w:pPr>
        <w:pStyle w:val="BodyText"/>
      </w:pPr>
      <w:r>
        <w:t xml:space="preserve">This Quotation Estimate document was prepared by Golden Pagoda Audit &amp; Advisory Services Co., Ltd., Yangon, Myanmar.</w:t>
      </w:r>
    </w:p>
    <w:p>
      <w:pPr>
        <w:pStyle w:val="BodyText"/>
      </w:pPr>
      <w:r>
        <w:t xml:space="preserve">Document Reference: QTE-2025-YGN-0487 | Page 1 of 1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Myanmar Yangon</dc:title>
  <dc:creator/>
  <dc:language>en</dc:language>
  <cp:keywords/>
  <dcterms:created xsi:type="dcterms:W3CDTF">2026-10-10T05:43:41Z</dcterms:created>
  <dcterms:modified xsi:type="dcterms:W3CDTF">2026-10-10T05:43:41Z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