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Auditor Services | Netherlands Amsterdam</w:t>
      </w:r>
    </w:p>
    <w:p>
      <w:pPr>
        <w:pStyle w:val="BodyText"/>
      </w:pPr>
      <w:r>
        <w:t xml:space="preserve">Amsterdam Audit &amp; Advisory B.V. | Herengracht 450, 1017 CA Amsterdam, The Netherlands</w:t>
      </w:r>
    </w:p>
    <w:p>
      <w:pPr>
        <w:pStyle w:val="BodyText"/>
      </w:pPr>
      <w:r>
        <w:t xml:space="preserve">KvK: 87654321 | BTW: NL861234567B01 | Tel: +31 20 123 4567 | Email: quotations@amsterdamaudit.nl</w:t>
      </w:r>
    </w:p>
    <w:bookmarkEnd w:id="20"/>
    <w:p>
      <w:pPr>
        <w:pStyle w:val="BodyText"/>
      </w:pPr>
      <w:r>
        <w:rPr>
          <w:bCs/>
          <w:b/>
        </w:rPr>
        <w:t xml:space="preserve">Quotation Estimate No.:</w:t>
      </w:r>
      <w:r>
        <w:t xml:space="preserve"> </w:t>
      </w:r>
      <w:r>
        <w:t xml:space="preserve">QTE-2025-AMST-0847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Company]</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Amsterdam Audit &amp; Advisory B.V. to provide a comprehensive and transparent overview of the professional</w:t>
      </w:r>
      <w:r>
        <w:t xml:space="preserve"> </w:t>
      </w:r>
      <w:r>
        <w:t xml:space="preserve">Auditor</w:t>
      </w:r>
      <w:r>
        <w:t xml:space="preserve"> </w:t>
      </w:r>
      <w:r>
        <w:t xml:space="preserve">services that will be delivered to the client in the Netherlands Amsterdam region. This document serves as a formal proposal outlining the scope of work, estimated timelines, and associated costs for the engagement of a qualified</w:t>
      </w:r>
      <w:r>
        <w:t xml:space="preserve"> </w:t>
      </w:r>
      <w:r>
        <w:t xml:space="preserve">Auditor</w:t>
      </w:r>
      <w:r>
        <w:t xml:space="preserve"> </w:t>
      </w:r>
      <w:r>
        <w:t xml:space="preserve">to perform statutory and advisory audit procedures in compliance with Dutch law (Wet op het accountantsberoep – Wab) and International Standards on Auditing (ISA) as adopted in the European Union.</w:t>
      </w:r>
    </w:p>
    <w:p>
      <w:pPr>
        <w:pStyle w:val="BodyText"/>
      </w:pPr>
      <w:r>
        <w:t xml:space="preserve">The</w:t>
      </w:r>
      <w:r>
        <w:t xml:space="preserve"> </w:t>
      </w:r>
      <w:r>
        <w:t xml:space="preserve">Quotation Estimate</w:t>
      </w:r>
      <w:r>
        <w:t xml:space="preserve"> </w:t>
      </w:r>
      <w:r>
        <w:t xml:space="preserve">has been prepared specifically for operations conducted within the Netherlands Amsterdam jurisdiction, taking into account the regulatory framework established by the Dutch Authority for the Financial Markets (AFM) and the Dutch Council for the Accountancy Profession (NOAB). All fees and charges presented herein reflect the current market rates applicable to</w:t>
      </w:r>
      <w:r>
        <w:t xml:space="preserve"> </w:t>
      </w:r>
      <w:r>
        <w:t xml:space="preserve">Auditor</w:t>
      </w:r>
      <w:r>
        <w:t xml:space="preserve"> </w:t>
      </w:r>
      <w:r>
        <w:t xml:space="preserve">engagements in the Netherlands Amsterdam metropolitan area as of the date of issue.</w:t>
      </w:r>
    </w:p>
    <w:bookmarkEnd w:id="21"/>
    <w:bookmarkStart w:id="22" w:name="scope-of-auditor-services"/>
    <w:p>
      <w:pPr>
        <w:pStyle w:val="Heading2"/>
      </w:pPr>
      <w:r>
        <w:t xml:space="preserve">2. Scope of Auditor Services</w:t>
      </w:r>
    </w:p>
    <w:p>
      <w:pPr>
        <w:pStyle w:val="FirstParagraph"/>
      </w:pPr>
      <w:r>
        <w:t xml:space="preserve">The</w:t>
      </w:r>
      <w:r>
        <w:t xml:space="preserve"> </w:t>
      </w:r>
      <w:r>
        <w:t xml:space="preserve">Auditor</w:t>
      </w:r>
      <w:r>
        <w:t xml:space="preserve"> </w:t>
      </w:r>
      <w:r>
        <w:t xml:space="preserve">engagement encompasses the following professional services to be performed in the Netherlands Amsterdam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Estimated Hours</w:t>
            </w:r>
          </w:p>
        </w:tc>
        <w:tc>
          <w:tcPr/>
          <w:p>
            <w:pPr>
              <w:pStyle w:val="Compact"/>
              <w:jc w:val="left"/>
            </w:pPr>
            <w:r>
              <w:t xml:space="preserve">Rate (EUR/hr)</w:t>
            </w:r>
          </w:p>
        </w:tc>
        <w:tc>
          <w:tcPr/>
          <w:p>
            <w:pPr>
              <w:pStyle w:val="Compact"/>
              <w:jc w:val="left"/>
            </w:pPr>
            <w:r>
              <w:t xml:space="preserve">Subtotal (EUR)</w:t>
            </w:r>
          </w:p>
        </w:tc>
      </w:tr>
      <w:tr>
        <w:tc>
          <w:tcPr/>
          <w:p>
            <w:pPr>
              <w:pStyle w:val="Compact"/>
              <w:jc w:val="left"/>
            </w:pPr>
            <w:r>
              <w:t xml:space="preserve">2.1</w:t>
            </w:r>
          </w:p>
        </w:tc>
        <w:tc>
          <w:tcPr/>
          <w:p>
            <w:pPr>
              <w:pStyle w:val="Compact"/>
              <w:jc w:val="left"/>
            </w:pPr>
            <w:r>
              <w:t xml:space="preserve">Statutory Financial Audit – Annual Accounts Review (Netherlands Amsterdam entity)</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2.2</w:t>
            </w:r>
          </w:p>
        </w:tc>
        <w:tc>
          <w:tcPr/>
          <w:p>
            <w:pPr>
              <w:pStyle w:val="Compact"/>
              <w:jc w:val="left"/>
            </w:pPr>
            <w:r>
              <w:t xml:space="preserve">Internal Control Assessment and Risk Evaluation</w:t>
            </w:r>
          </w:p>
        </w:tc>
        <w:tc>
          <w:tcPr/>
          <w:p>
            <w:pPr>
              <w:pStyle w:val="Compact"/>
              <w:jc w:val="left"/>
            </w:pPr>
            <w:r>
              <w:t xml:space="preserve">45</w:t>
            </w:r>
          </w:p>
        </w:tc>
        <w:tc>
          <w:tcPr/>
          <w:p>
            <w:pPr>
              <w:pStyle w:val="Compact"/>
              <w:jc w:val="left"/>
            </w:pPr>
            <w:r>
              <w:t xml:space="preserve">165.00</w:t>
            </w:r>
          </w:p>
        </w:tc>
        <w:tc>
          <w:tcPr/>
          <w:p>
            <w:pPr>
              <w:pStyle w:val="Compact"/>
              <w:jc w:val="left"/>
            </w:pPr>
            <w:r>
              <w:t xml:space="preserve">7,425.00</w:t>
            </w:r>
          </w:p>
        </w:tc>
      </w:tr>
      <w:tr>
        <w:tc>
          <w:tcPr/>
          <w:p>
            <w:pPr>
              <w:pStyle w:val="Compact"/>
              <w:jc w:val="left"/>
            </w:pPr>
            <w:r>
              <w:t xml:space="preserve">2.3</w:t>
            </w:r>
          </w:p>
        </w:tc>
        <w:tc>
          <w:tcPr/>
          <w:p>
            <w:pPr>
              <w:pStyle w:val="Compact"/>
              <w:jc w:val="left"/>
            </w:pPr>
            <w:r>
              <w:t xml:space="preserve">Compliance Review – Dutch Tax and Corporate Law (Netherlands Amsterdam regulations)</w:t>
            </w:r>
          </w:p>
        </w:tc>
        <w:tc>
          <w:tcPr/>
          <w:p>
            <w:pPr>
              <w:pStyle w:val="Compact"/>
              <w:jc w:val="left"/>
            </w:pPr>
            <w:r>
              <w:t xml:space="preserve">30</w:t>
            </w:r>
          </w:p>
        </w:tc>
        <w:tc>
          <w:tcPr/>
          <w:p>
            <w:pPr>
              <w:pStyle w:val="Compact"/>
              <w:jc w:val="left"/>
            </w:pPr>
            <w:r>
              <w:t xml:space="preserve">175.00</w:t>
            </w:r>
          </w:p>
        </w:tc>
        <w:tc>
          <w:tcPr/>
          <w:p>
            <w:pPr>
              <w:pStyle w:val="Compact"/>
              <w:jc w:val="left"/>
            </w:pPr>
            <w:r>
              <w:t xml:space="preserve">5,250.00</w:t>
            </w:r>
          </w:p>
        </w:tc>
      </w:tr>
      <w:tr>
        <w:tc>
          <w:tcPr/>
          <w:p>
            <w:pPr>
              <w:pStyle w:val="Compact"/>
              <w:jc w:val="left"/>
            </w:pPr>
            <w:r>
              <w:t xml:space="preserve">2.4</w:t>
            </w:r>
          </w:p>
        </w:tc>
        <w:tc>
          <w:tcPr/>
          <w:p>
            <w:pPr>
              <w:pStyle w:val="Compact"/>
              <w:jc w:val="left"/>
            </w:pPr>
            <w:r>
              <w:t xml:space="preserve">Management Letter and Advisory Recommendations</w:t>
            </w:r>
          </w:p>
        </w:tc>
        <w:tc>
          <w:tcPr/>
          <w:p>
            <w:pPr>
              <w:pStyle w:val="Compact"/>
              <w:jc w:val="left"/>
            </w:pPr>
            <w:r>
              <w:t xml:space="preserve">15</w:t>
            </w:r>
          </w:p>
        </w:tc>
        <w:tc>
          <w:tcPr/>
          <w:p>
            <w:pPr>
              <w:pStyle w:val="Compact"/>
              <w:jc w:val="left"/>
            </w:pPr>
            <w:r>
              <w:t xml:space="preserve">195.00</w:t>
            </w:r>
          </w:p>
        </w:tc>
        <w:tc>
          <w:tcPr/>
          <w:p>
            <w:pPr>
              <w:pStyle w:val="Compact"/>
              <w:jc w:val="left"/>
            </w:pPr>
            <w:r>
              <w:t xml:space="preserve">2,925.00</w:t>
            </w:r>
          </w:p>
        </w:tc>
      </w:tr>
      <w:tr>
        <w:tc>
          <w:tcPr/>
          <w:p>
            <w:pPr>
              <w:pStyle w:val="Compact"/>
              <w:jc w:val="left"/>
            </w:pPr>
            <w:r>
              <w:t xml:space="preserve">2.5</w:t>
            </w:r>
          </w:p>
        </w:tc>
        <w:tc>
          <w:tcPr/>
          <w:p>
            <w:pPr>
              <w:pStyle w:val="Compact"/>
              <w:jc w:val="left"/>
            </w:pPr>
            <w:r>
              <w:t xml:space="preserve">On-site Fieldwork and Evidence Gathering (Netherlands Amsterdam offices)</w:t>
            </w:r>
          </w:p>
        </w:tc>
        <w:tc>
          <w:tcPr/>
          <w:p>
            <w:pPr>
              <w:pStyle w:val="Compact"/>
              <w:jc w:val="left"/>
            </w:pPr>
            <w:r>
              <w:t xml:space="preserve">25</w:t>
            </w:r>
          </w:p>
        </w:tc>
        <w:tc>
          <w:tcPr/>
          <w:p>
            <w:pPr>
              <w:pStyle w:val="Compact"/>
              <w:jc w:val="left"/>
            </w:pPr>
            <w:r>
              <w:t xml:space="preserve">155.00</w:t>
            </w:r>
          </w:p>
        </w:tc>
        <w:tc>
          <w:tcPr/>
          <w:p>
            <w:pPr>
              <w:pStyle w:val="Compact"/>
              <w:jc w:val="left"/>
            </w:pPr>
            <w:r>
              <w:t xml:space="preserve">3,875.00</w:t>
            </w:r>
          </w:p>
        </w:tc>
      </w:tr>
      <w:tr>
        <w:tc>
          <w:tcPr/>
          <w:p>
            <w:pPr>
              <w:pStyle w:val="Compact"/>
              <w:jc w:val="left"/>
            </w:pPr>
            <w:r>
              <w:t xml:space="preserve">2.6</w:t>
            </w:r>
          </w:p>
        </w:tc>
        <w:tc>
          <w:tcPr/>
          <w:p>
            <w:pPr>
              <w:pStyle w:val="Compact"/>
              <w:jc w:val="left"/>
            </w:pPr>
            <w:r>
              <w:t xml:space="preserve">Final Audit Report Preparation and AFM Filing Support</w:t>
            </w:r>
          </w:p>
        </w:tc>
        <w:tc>
          <w:tcPr/>
          <w:p>
            <w:pPr>
              <w:pStyle w:val="Compact"/>
              <w:jc w:val="left"/>
            </w:pPr>
            <w:r>
              <w:t xml:space="preserve">20</w:t>
            </w:r>
          </w:p>
        </w:tc>
        <w:tc>
          <w:tcPr/>
          <w:p>
            <w:pPr>
              <w:pStyle w:val="Compact"/>
              <w:jc w:val="left"/>
            </w:pPr>
            <w:r>
              <w:t xml:space="preserve">185.00</w:t>
            </w:r>
          </w:p>
        </w:tc>
        <w:tc>
          <w:tcPr/>
          <w:p>
            <w:pPr>
              <w:pStyle w:val="Compact"/>
              <w:jc w:val="left"/>
            </w:pPr>
            <w:r>
              <w:t xml:space="preserve">3,700.00</w:t>
            </w:r>
          </w:p>
        </w:tc>
      </w:tr>
      <w:tr>
        <w:tc>
          <w:tcPr>
            <w:gridSpan w:val="4"/>
          </w:tcPr>
          <w:p>
            <w:pPr>
              <w:pStyle w:val="Compact"/>
              <w:jc w:val="left"/>
            </w:pPr>
            <w:r>
              <w:t xml:space="preserve">Total Estimated Professional Fees (excl. BTW/VAT)</w:t>
            </w:r>
          </w:p>
        </w:tc>
        <w:tc>
          <w:tcPr/>
          <w:p>
            <w:pPr>
              <w:pStyle w:val="Compact"/>
              <w:jc w:val="left"/>
            </w:pPr>
            <w:r>
              <w:t xml:space="preserve">45,375.00</w:t>
            </w:r>
          </w:p>
        </w:tc>
      </w:tr>
      <w:tr>
        <w:tc>
          <w:tcPr>
            <w:gridSpan w:val="4"/>
          </w:tcPr>
          <w:p>
            <w:pPr>
              <w:pStyle w:val="Compact"/>
              <w:jc w:val="left"/>
            </w:pPr>
            <w:r>
              <w:t xml:space="preserve">BTW / VAT (21% – Netherlands Amsterdam standard rate)</w:t>
            </w:r>
          </w:p>
        </w:tc>
        <w:tc>
          <w:tcPr/>
          <w:p>
            <w:pPr>
              <w:pStyle w:val="Compact"/>
              <w:jc w:val="left"/>
            </w:pPr>
            <w:r>
              <w:t xml:space="preserve">9,528.75</w:t>
            </w:r>
          </w:p>
        </w:tc>
      </w:tr>
      <w:tr>
        <w:tc>
          <w:tcPr>
            <w:gridSpan w:val="4"/>
          </w:tcPr>
          <w:p>
            <w:pPr>
              <w:pStyle w:val="Compact"/>
              <w:jc w:val="left"/>
            </w:pPr>
            <w:r>
              <w:t xml:space="preserve">Grand Total (incl. BTW/VAT)</w:t>
            </w:r>
          </w:p>
        </w:tc>
        <w:tc>
          <w:tcPr/>
          <w:p>
            <w:pPr>
              <w:pStyle w:val="Compact"/>
              <w:jc w:val="left"/>
            </w:pPr>
            <w:r>
              <w:t xml:space="preserve">54,903.75</w:t>
            </w:r>
          </w:p>
        </w:tc>
      </w:tr>
    </w:tbl>
    <w:bookmarkEnd w:id="22"/>
    <w:bookmarkStart w:id="23" w:name="Xff60ed1f40e4c4b48da7c2cb69ee07c60a9fa07"/>
    <w:p>
      <w:pPr>
        <w:pStyle w:val="Heading2"/>
      </w:pPr>
      <w:r>
        <w:t xml:space="preserve">3. Auditor Qualifications and Engagement Team</w:t>
      </w:r>
    </w:p>
    <w:p>
      <w:pPr>
        <w:pStyle w:val="FirstParagraph"/>
      </w:pPr>
      <w:r>
        <w:t xml:space="preserve">The</w:t>
      </w:r>
      <w:r>
        <w:t xml:space="preserve"> </w:t>
      </w:r>
      <w:r>
        <w:t xml:space="preserve">Auditor</w:t>
      </w:r>
      <w:r>
        <w:t xml:space="preserve"> </w:t>
      </w:r>
      <w:r>
        <w:t xml:space="preserve">engagement will be led by a Registered Auditor (Gerechtigd Accountant) holding a valid NOAB registration and AFM authorization, with a minimum of fifteen (15) years of experience in statutory audits within the Netherlands Amsterdam corporate sector. The engagement team will consist of a Senior Auditor, two (2) Audit Associates, and a Compliance Specialist familiar with the specific regulatory requirements applicable to entities operating in the Netherlands Amsterdam region.</w:t>
      </w:r>
    </w:p>
    <w:p>
      <w:pPr>
        <w:pStyle w:val="BodyText"/>
      </w:pPr>
      <w:r>
        <w:t xml:space="preserve">All</w:t>
      </w:r>
      <w:r>
        <w:t xml:space="preserve"> </w:t>
      </w:r>
      <w:r>
        <w:t xml:space="preserve">Auditor</w:t>
      </w:r>
      <w:r>
        <w:t xml:space="preserve"> </w:t>
      </w:r>
      <w:r>
        <w:t xml:space="preserve">team members are bound by strict confidentiality obligations in accordance with the Dutch Data Protection Act (UAVG/GDPR) and the professional code of ethics as published by the NOAB. The</w:t>
      </w:r>
      <w:r>
        <w:t xml:space="preserve"> </w:t>
      </w:r>
      <w:r>
        <w:t xml:space="preserve">Auditor</w:t>
      </w:r>
      <w:r>
        <w:t xml:space="preserve"> </w:t>
      </w:r>
      <w:r>
        <w:t xml:space="preserve">shall maintain full independence and objectivity throughout the duration of the engagement as required by Dutch statutory audit legislation.</w:t>
      </w:r>
    </w:p>
    <w:bookmarkEnd w:id="23"/>
    <w:bookmarkStart w:id="24" w:name="timeline-and-milestones"/>
    <w:p>
      <w:pPr>
        <w:pStyle w:val="Heading2"/>
      </w:pPr>
      <w:r>
        <w:t xml:space="preserve">4.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Engagement Kick-off (Netherlands Amsterdam office visit)</w:t>
            </w:r>
          </w:p>
        </w:tc>
        <w:tc>
          <w:tcPr/>
          <w:p>
            <w:pPr>
              <w:pStyle w:val="Compact"/>
              <w:jc w:val="left"/>
            </w:pPr>
            <w:r>
              <w:t xml:space="preserve">1 July 2025</w:t>
            </w:r>
          </w:p>
        </w:tc>
        <w:tc>
          <w:tcPr/>
          <w:p>
            <w:pPr>
              <w:pStyle w:val="Compact"/>
              <w:jc w:val="left"/>
            </w:pPr>
            <w:r>
              <w:t xml:space="preserve">Audit Plan and Risk Assessment Matrix</w:t>
            </w:r>
          </w:p>
        </w:tc>
      </w:tr>
      <w:tr>
        <w:tc>
          <w:tcPr/>
          <w:p>
            <w:pPr>
              <w:pStyle w:val="Compact"/>
              <w:jc w:val="left"/>
            </w:pPr>
            <w:r>
              <w:t xml:space="preserve">Interim Fieldwork Completion</w:t>
            </w:r>
          </w:p>
        </w:tc>
        <w:tc>
          <w:tcPr/>
          <w:p>
            <w:pPr>
              <w:pStyle w:val="Compact"/>
              <w:jc w:val="left"/>
            </w:pPr>
            <w:r>
              <w:t xml:space="preserve">15 August 2025</w:t>
            </w:r>
          </w:p>
        </w:tc>
        <w:tc>
          <w:tcPr/>
          <w:p>
            <w:pPr>
              <w:pStyle w:val="Compact"/>
              <w:jc w:val="left"/>
            </w:pPr>
            <w:r>
              <w:t xml:space="preserve">Interim Findings Report</w:t>
            </w:r>
          </w:p>
        </w:tc>
      </w:tr>
      <w:tr>
        <w:tc>
          <w:tcPr/>
          <w:p>
            <w:pPr>
              <w:pStyle w:val="Compact"/>
              <w:jc w:val="left"/>
            </w:pPr>
            <w:r>
              <w:t xml:space="preserve">Year-End Fieldwork and Testing</w:t>
            </w:r>
          </w:p>
        </w:tc>
        <w:tc>
          <w:tcPr/>
          <w:p>
            <w:pPr>
              <w:pStyle w:val="Compact"/>
              <w:jc w:val="left"/>
            </w:pPr>
            <w:r>
              <w:t xml:space="preserve">30 September 2025</w:t>
            </w:r>
          </w:p>
        </w:tc>
        <w:tc>
          <w:tcPr/>
          <w:p>
            <w:pPr>
              <w:pStyle w:val="Compact"/>
              <w:jc w:val="left"/>
            </w:pPr>
            <w:r>
              <w:t xml:space="preserve">Working Papers and Evidence File</w:t>
            </w:r>
          </w:p>
        </w:tc>
      </w:tr>
      <w:tr>
        <w:tc>
          <w:tcPr/>
          <w:p>
            <w:pPr>
              <w:pStyle w:val="Compact"/>
              <w:jc w:val="left"/>
            </w:pPr>
            <w:r>
              <w:t xml:space="preserve">Final Audit Report Issuance</w:t>
            </w:r>
          </w:p>
        </w:tc>
        <w:tc>
          <w:tcPr/>
          <w:p>
            <w:pPr>
              <w:pStyle w:val="Compact"/>
              <w:jc w:val="left"/>
            </w:pPr>
            <w:r>
              <w:t xml:space="preserve">31 October 2025</w:t>
            </w:r>
          </w:p>
        </w:tc>
        <w:tc>
          <w:tcPr/>
          <w:p>
            <w:pPr>
              <w:pStyle w:val="Compact"/>
              <w:jc w:val="left"/>
            </w:pPr>
            <w:r>
              <w:t xml:space="preserve">Statutory Audit Opinion and Management Letter</w:t>
            </w:r>
          </w:p>
        </w:tc>
      </w:tr>
    </w:tbl>
    <w:bookmarkEnd w:id="24"/>
    <w:bookmarkStart w:id="25" w:name="X985eb999f0cfcda5f1af1a675bf0b7c2e0a6c64"/>
    <w:p>
      <w:pPr>
        <w:pStyle w:val="Heading2"/>
      </w:pPr>
      <w:r>
        <w:t xml:space="preserve">5.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and fees are subject to revision based on prevailing market conditions in the Netherlands Amsterdam professional services sector.</w:t>
      </w:r>
    </w:p>
    <w:p>
      <w:pPr>
        <w:numPr>
          <w:ilvl w:val="0"/>
          <w:numId w:val="1001"/>
        </w:numPr>
        <w:pStyle w:val="Compact"/>
      </w:pPr>
      <w:r>
        <w:t xml:space="preserve">Payment terms: 50% of the total estimated fee shall be due upon acceptance of this</w:t>
      </w:r>
      <w:r>
        <w:t xml:space="preserve"> </w:t>
      </w:r>
      <w:r>
        <w:t xml:space="preserve">Quotation Estimate</w:t>
      </w:r>
      <w:r>
        <w:t xml:space="preserve">, and the remaining 50% shall be payable within thirty (30) days following the issuance of the final</w:t>
      </w:r>
      <w:r>
        <w:t xml:space="preserve"> </w:t>
      </w:r>
      <w:r>
        <w:t xml:space="preserve">Auditor</w:t>
      </w:r>
      <w:r>
        <w:t xml:space="preserve"> </w:t>
      </w:r>
      <w:r>
        <w:t xml:space="preserve">report.</w:t>
      </w:r>
    </w:p>
    <w:p>
      <w:pPr>
        <w:numPr>
          <w:ilvl w:val="0"/>
          <w:numId w:val="1001"/>
        </w:numPr>
        <w:pStyle w:val="Compact"/>
      </w:pPr>
      <w:r>
        <w:t xml:space="preserve">All fees are quoted in Euro (EUR) and are exclusive of travel expenses unless otherwise stated. Travel within the Netherlands Amsterdam municipality is included in the quoted rates; travel to locations outside the Amsterdam metropolitan area will be billed at actual cost.</w:t>
      </w:r>
    </w:p>
    <w:p>
      <w:pPr>
        <w:numPr>
          <w:ilvl w:val="0"/>
          <w:numId w:val="1001"/>
        </w:numPr>
        <w:pStyle w:val="Compact"/>
      </w:pPr>
      <w:r>
        <w:t xml:space="preserve">The</w:t>
      </w:r>
      <w:r>
        <w:t xml:space="preserve"> </w:t>
      </w:r>
      <w:r>
        <w:t xml:space="preserve">Auditor</w:t>
      </w:r>
      <w:r>
        <w:t xml:space="preserve"> </w:t>
      </w:r>
      <w:r>
        <w:t xml:space="preserve">reserves the right to adjust the estimated hours by up to fifteen percent (15%) without issuing a revised</w:t>
      </w:r>
      <w:r>
        <w:t xml:space="preserve"> </w:t>
      </w:r>
      <w:r>
        <w:t xml:space="preserve">Quotation Estimate</w:t>
      </w:r>
      <w:r>
        <w:t xml:space="preserve">, provided that the client is notified in writing of any material deviation from the original scope.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Upon acceptance, the terms of the standard Audit Engagement Letter (conforming to NOAB guidelines) shall govern the professional relationship.</w:t>
      </w:r>
    </w:p>
    <w:p>
      <w:pPr>
        <w:numPr>
          <w:ilvl w:val="0"/>
          <w:numId w:val="1001"/>
        </w:numPr>
        <w:pStyle w:val="Compact"/>
      </w:pPr>
      <w:r>
        <w:t xml:space="preserve">The</w:t>
      </w:r>
      <w:r>
        <w:t xml:space="preserve"> </w:t>
      </w:r>
      <w:r>
        <w:t xml:space="preserve">Auditor</w:t>
      </w:r>
      <w:r>
        <w:t xml:space="preserve"> </w:t>
      </w:r>
      <w:r>
        <w:t xml:space="preserve">shall comply with all applicable data protection regulations, including the Dutch UAVG and EU GDPR, in the handling of all client information obtained during the engagement in the Netherlands Amsterdam area.</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w:t>
      </w:r>
      <w:r>
        <w:t xml:space="preserve"> </w:t>
      </w:r>
      <w:r>
        <w:t xml:space="preserve">Auditor</w:t>
      </w:r>
      <w:r>
        <w:t xml:space="preserve"> </w:t>
      </w:r>
      <w:r>
        <w:t xml:space="preserve">engagement shall be subject to the exclusive jurisdiction of the courts of Amsterdam, The Netherlands.</w:t>
      </w:r>
    </w:p>
    <w:p>
      <w:pPr>
        <w:numPr>
          <w:ilvl w:val="0"/>
          <w:numId w:val="1001"/>
        </w:numPr>
        <w:pStyle w:val="Compact"/>
      </w:pPr>
      <w:r>
        <w:t xml:space="preserve">Force majeure events, including but not limited to government-mandated closures in the Netherlands Amsterdam region, shall suspend the timeline obligations proportionally without penalty to either party.</w:t>
      </w:r>
    </w:p>
    <w:bookmarkEnd w:id="25"/>
    <w:bookmarkStart w:id="28"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outlined herein for the engagement of the</w:t>
      </w:r>
      <w:r>
        <w:t xml:space="preserve"> </w:t>
      </w:r>
      <w:r>
        <w:t xml:space="preserve">Auditor</w:t>
      </w:r>
      <w:r>
        <w:t xml:space="preserve"> </w:t>
      </w:r>
      <w:r>
        <w:t xml:space="preserve">in the Netherlands Amsterdam jurisdiction.</w:t>
      </w:r>
    </w:p>
    <w:bookmarkStart w:id="26" w:name="for-amsterdam-audit-advisory-b.v."/>
    <w:p>
      <w:pPr>
        <w:pStyle w:val="Heading3"/>
      </w:pPr>
      <w:r>
        <w:t xml:space="preserve">For Amsterdam Audit &amp; Advisory B.V.</w:t>
      </w:r>
    </w:p>
    <w:p>
      <w:pPr>
        <w:pStyle w:val="FirstParagraph"/>
      </w:pPr>
      <w:r>
        <w:t xml:space="preserve">Name: ____________________________</w:t>
      </w:r>
    </w:p>
    <w:p>
      <w:pPr>
        <w:pStyle w:val="BodyText"/>
      </w:pPr>
      <w:r>
        <w:t xml:space="preserve">Title: Registered Auditor (Gerechtigd Accountant)</w:t>
      </w:r>
    </w:p>
    <w:p>
      <w:pPr>
        <w:pStyle w:val="BodyText"/>
      </w:pPr>
      <w:r>
        <w:t xml:space="preserve">Date: ____________________________</w:t>
      </w:r>
    </w:p>
    <w:p>
      <w:pPr>
        <w:pStyle w:val="BodyText"/>
      </w:pPr>
      <w:r>
        <w:t xml:space="preserve">Signature</w:t>
      </w:r>
    </w:p>
    <w:bookmarkEnd w:id="26"/>
    <w:bookmarkStart w:id="27" w:name="for-the-client"/>
    <w:p>
      <w:pPr>
        <w:pStyle w:val="Heading3"/>
      </w:pPr>
      <w:r>
        <w:t xml:space="preserve">For the Client</w:t>
      </w:r>
    </w:p>
    <w:p>
      <w:pPr>
        <w:pStyle w:val="FirstParagraph"/>
      </w:pPr>
      <w:r>
        <w:t xml:space="preserve">Name: ____________________________</w:t>
      </w:r>
    </w:p>
    <w:p>
      <w:pPr>
        <w:pStyle w:val="BodyText"/>
      </w:pPr>
      <w:r>
        <w:t xml:space="preserve">Title: ____________________________</w:t>
      </w:r>
    </w:p>
    <w:p>
      <w:pPr>
        <w:pStyle w:val="BodyText"/>
      </w:pPr>
      <w:r>
        <w:t xml:space="preserve">Date: ____________________________</w:t>
      </w:r>
    </w:p>
    <w:p>
      <w:pPr>
        <w:pStyle w:val="BodyText"/>
      </w:pPr>
      <w:r>
        <w:t xml:space="preserve">Signature</w:t>
      </w:r>
    </w:p>
    <w:bookmarkEnd w:id="27"/>
    <w:bookmarkEnd w:id="28"/>
    <w:p>
      <w:pPr>
        <w:pStyle w:val="BodyText"/>
      </w:pPr>
      <w:r>
        <w:t xml:space="preserve">This</w:t>
      </w:r>
      <w:r>
        <w:t xml:space="preserve"> </w:t>
      </w:r>
      <w:r>
        <w:t xml:space="preserve">Quotation Estimate</w:t>
      </w:r>
      <w:r>
        <w:t xml:space="preserve"> </w:t>
      </w:r>
      <w:r>
        <w:t xml:space="preserve">(Ref. QTE-2025-AMST-0847) was prepared by Amsterdam Audit &amp; Advisory B.V., a registered</w:t>
      </w:r>
      <w:r>
        <w:t xml:space="preserve"> </w:t>
      </w:r>
      <w:r>
        <w:t xml:space="preserve">Auditor</w:t>
      </w:r>
      <w:r>
        <w:t xml:space="preserve"> </w:t>
      </w:r>
      <w:r>
        <w:t xml:space="preserve">firm operating in the Netherlands Amsterdam region.</w:t>
      </w:r>
      <w:r>
        <w:t xml:space="preserve"> </w:t>
      </w:r>
      <w:r>
        <w:t xml:space="preserve">This document is confidential and intended solely for the named recipient. Unauthorized reproduction or distribution is prohibited.</w:t>
      </w:r>
    </w:p>
    <w:p>
      <w:pPr>
        <w:pStyle w:val="BodyText"/>
      </w:pPr>
      <w:r>
        <w:t xml:space="preserve">© 2025 Amsterdam Audit &amp; Advisory B.V. | Herengracht 450, 1017 CA Amsterdam, The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Netherlands Amsterdam</dc:title>
  <dc:creator/>
  <dc:language>en</dc:language>
  <cp:keywords/>
  <dcterms:created xsi:type="dcterms:W3CDTF">2026-10-10T03:41:47Z</dcterms:created>
  <dcterms:modified xsi:type="dcterms:W3CDTF">2026-10-10T03:41:47Z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