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wellington-audit-assurance-partners-ltd"/>
    <w:p>
      <w:pPr>
        <w:pStyle w:val="Heading1"/>
      </w:pPr>
      <w:r>
        <w:t xml:space="preserve">Wellington Audit &amp; Assurance Partners Ltd</w:t>
      </w:r>
    </w:p>
    <w:p>
      <w:pPr>
        <w:pStyle w:val="FirstParagraph"/>
      </w:pPr>
      <w:r>
        <w:t xml:space="preserve">Level 12, 121 Lambton Quay, Wellington 6011, New Zealand</w:t>
      </w:r>
    </w:p>
    <w:p>
      <w:pPr>
        <w:pStyle w:val="BodyText"/>
      </w:pPr>
      <w:r>
        <w:t xml:space="preserve">Phone: +64 4 382 5500 | Email: enquiries@wellingtonaudit.co.nz</w:t>
      </w:r>
    </w:p>
    <w:p>
      <w:pPr>
        <w:pStyle w:val="BodyText"/>
      </w:pPr>
      <w:r>
        <w:t xml:space="preserve">Registered in New Zealand | NZBN: 9429045678901 | GST: 123-456-789</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WAA-2025-04871</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By:</w:t>
      </w:r>
      <w:r>
        <w:t xml:space="preserve"> </w:t>
      </w:r>
      <w:r>
        <w:t xml:space="preserve">Sarah Mitchell, Principal Auditor</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Company Name]</w:t>
      </w:r>
    </w:p>
    <w:p>
      <w:pPr>
        <w:pStyle w:val="BodyText"/>
      </w:pPr>
      <w:r>
        <w:rPr>
          <w:bCs/>
          <w:b/>
        </w:rPr>
        <w:t xml:space="preserve">Address:</w:t>
      </w:r>
      <w:r>
        <w:t xml:space="preserve"> </w:t>
      </w:r>
      <w:r>
        <w:t xml:space="preserve">[Street Address], Wellington, New Zealand</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[client@email.co.nz]</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has been prepared by Wellington Audit &amp; Assurance Partners Ltd to provide a comprehensive and transparent cost breakdown for the engagement of a qualified</w:t>
      </w:r>
      <w:r>
        <w:t xml:space="preserve"> </w:t>
      </w:r>
      <w:r>
        <w:t xml:space="preserve">Auditor</w:t>
      </w:r>
      <w:r>
        <w:t xml:space="preserve"> </w:t>
      </w:r>
      <w:r>
        <w:t xml:space="preserve">to perform statutory and internal audit services for the client's operations based in</w:t>
      </w:r>
      <w:r>
        <w:t xml:space="preserve"> </w:t>
      </w:r>
      <w:r>
        <w:t xml:space="preserve">New Zealand Wellington</w:t>
      </w:r>
      <w:r>
        <w:t xml:space="preserve">. This document outlines the full scope of work, deliverables, timelines, and associated professional fees. All pricing is quoted in New Zealand Dollars (NZD) and is inclusive of Goods and Services Tax (GST) at the current rate of 15%, unless otherwise stated.</w:t>
      </w:r>
    </w:p>
    <w:p>
      <w:pPr>
        <w:pStyle w:val="BodyText"/>
      </w:pPr>
      <w:r>
        <w:t xml:space="preserve">The</w:t>
      </w:r>
      <w:r>
        <w:t xml:space="preserve"> </w:t>
      </w:r>
      <w:r>
        <w:t xml:space="preserve">Auditor</w:t>
      </w:r>
      <w:r>
        <w:t xml:space="preserve"> </w:t>
      </w:r>
      <w:r>
        <w:t xml:space="preserve">engagement will be conducted in strict accordance with the New Zealand Standards on Auditing (NZSA), the Companies Act 1993 of New Zealand, and the relevant auditing standards issued by the External Reporting Board (XRB). The</w:t>
      </w:r>
      <w:r>
        <w:t xml:space="preserve"> </w:t>
      </w:r>
      <w:r>
        <w:t xml:space="preserve">Auditor</w:t>
      </w:r>
      <w:r>
        <w:t xml:space="preserve"> </w:t>
      </w:r>
      <w:r>
        <w:t xml:space="preserve">will operate independently and maintain professional scepticism throughout the entire audit process, ensuring compliance with all regulatory requirements applicable to entities operating in</w:t>
      </w:r>
      <w:r>
        <w:t xml:space="preserve"> </w:t>
      </w:r>
      <w:r>
        <w:t xml:space="preserve">New Zealand Wellington</w:t>
      </w:r>
      <w:r>
        <w:t xml:space="preserve"> </w:t>
      </w:r>
      <w:r>
        <w:t xml:space="preserve">and the broader New Zealand jurisdiction.</w:t>
      </w:r>
    </w:p>
    <w:p>
      <w:pPr>
        <w:pStyle w:val="BodyText"/>
      </w:pPr>
      <w:r>
        <w:t xml:space="preserve">2. Scope of Auditor Services</w:t>
      </w:r>
    </w:p>
    <w:p>
      <w:pPr>
        <w:pStyle w:val="BodyText"/>
      </w:pPr>
      <w:r>
        <w:t xml:space="preserve">The</w:t>
      </w:r>
      <w:r>
        <w:t xml:space="preserve"> </w:t>
      </w:r>
      <w:r>
        <w:t xml:space="preserve">Auditor</w:t>
      </w:r>
      <w:r>
        <w:t xml:space="preserve"> </w:t>
      </w:r>
      <w:r>
        <w:t xml:space="preserve">engagement encompasses the following key areas of work, all to be performed at the client's premises in</w:t>
      </w:r>
      <w:r>
        <w:t xml:space="preserve"> </w:t>
      </w:r>
      <w:r>
        <w:t xml:space="preserve">New Zealand Wellington</w:t>
      </w:r>
      <w:r>
        <w:t xml:space="preserve"> </w:t>
      </w:r>
      <w:r>
        <w:t xml:space="preserve">and at our firm's offices on Lambton Quay:</w:t>
      </w:r>
    </w:p>
    <w:p>
      <w:pPr>
        <w:numPr>
          <w:ilvl w:val="0"/>
          <w:numId w:val="1001"/>
        </w:numPr>
        <w:pStyle w:val="Compact"/>
      </w:pPr>
      <w:r>
        <w:t xml:space="preserve">Statutory audit of the annual financial statements in compliance with the Companies Act 1993 (New Zealand).</w:t>
      </w:r>
    </w:p>
    <w:p>
      <w:pPr>
        <w:numPr>
          <w:ilvl w:val="0"/>
          <w:numId w:val="1001"/>
        </w:numPr>
        <w:pStyle w:val="Compact"/>
      </w:pPr>
      <w:r>
        <w:t xml:space="preserve">Internal audit review of operational controls, risk management frameworks, and governance structures.</w:t>
      </w:r>
    </w:p>
    <w:p>
      <w:pPr>
        <w:numPr>
          <w:ilvl w:val="0"/>
          <w:numId w:val="1001"/>
        </w:numPr>
        <w:pStyle w:val="Compact"/>
      </w:pPr>
      <w:r>
        <w:t xml:space="preserve">Compliance audit ensuring adherence to New Zealand tax obligations, including GST, PAYE, and corporate income tax requirements administered by Inland Revenue (IRD).</w:t>
      </w:r>
    </w:p>
    <w:p>
      <w:pPr>
        <w:numPr>
          <w:ilvl w:val="0"/>
          <w:numId w:val="1001"/>
        </w:numPr>
        <w:pStyle w:val="Compact"/>
      </w:pPr>
      <w:r>
        <w:t xml:space="preserve">Review of related-party transactions and disclosure adequacy under New Zealand Financial Reporting Standards (NZ IFRS).</w:t>
      </w:r>
    </w:p>
    <w:p>
      <w:pPr>
        <w:numPr>
          <w:ilvl w:val="0"/>
          <w:numId w:val="1001"/>
        </w:numPr>
        <w:pStyle w:val="Compact"/>
      </w:pPr>
      <w:r>
        <w:t xml:space="preserve">Assessment of information technology systems and data integrity controls relevant to the client's Wellington-based operations.</w:t>
      </w:r>
    </w:p>
    <w:p>
      <w:pPr>
        <w:numPr>
          <w:ilvl w:val="0"/>
          <w:numId w:val="1001"/>
        </w:numPr>
        <w:pStyle w:val="Compact"/>
      </w:pPr>
      <w:r>
        <w:t xml:space="preserve">Preparation of the independent Auditor's Report for inclusion in the annual report.</w:t>
      </w:r>
    </w:p>
    <w:p>
      <w:pPr>
        <w:numPr>
          <w:ilvl w:val="0"/>
          <w:numId w:val="1001"/>
        </w:numPr>
        <w:pStyle w:val="Compact"/>
      </w:pPr>
      <w:r>
        <w:t xml:space="preserve">Management letter identifying areas for improvement in internal controls and financial reporting processes.</w:t>
      </w:r>
    </w:p>
    <w:p>
      <w:pPr>
        <w:pStyle w:val="FirstParagraph"/>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(NZD/hr)</w:t>
            </w:r>
          </w:p>
        </w:tc>
        <w:tc>
          <w:tcPr/>
          <w:p>
            <w:pPr>
              <w:pStyle w:val="Compact"/>
              <w:jc w:val="left"/>
            </w:pPr>
            <w:r>
              <w:t xml:space="preserve">Amount (NZD)</w:t>
            </w:r>
          </w:p>
        </w:tc>
      </w:tr>
      <w:tr>
        <w:tc>
          <w:tcPr/>
          <w:p>
            <w:pPr>
              <w:pStyle w:val="Compact"/>
              <w:jc w:val="left"/>
            </w:pPr>
            <w:r>
              <w:t xml:space="preserve">1</w:t>
            </w:r>
          </w:p>
        </w:tc>
        <w:tc>
          <w:tcPr/>
          <w:p>
            <w:pPr>
              <w:pStyle w:val="Compact"/>
              <w:jc w:val="left"/>
            </w:pPr>
            <w:r>
              <w:t xml:space="preserve">Planning and risk assessment phase – Auditor engagement in New Zealand Wellington</w:t>
            </w:r>
          </w:p>
        </w:tc>
        <w:tc>
          <w:tcPr/>
          <w:p>
            <w:pPr>
              <w:pStyle w:val="Compact"/>
              <w:jc w:val="left"/>
            </w:pPr>
            <w:r>
              <w:t xml:space="preserve">40</w:t>
            </w:r>
          </w:p>
        </w:tc>
        <w:tc>
          <w:tcPr/>
          <w:p>
            <w:pPr>
              <w:pStyle w:val="Compact"/>
              <w:jc w:val="left"/>
            </w:pPr>
            <w:r>
              <w:t xml:space="preserve">285.00</w:t>
            </w:r>
          </w:p>
        </w:tc>
        <w:tc>
          <w:tcPr/>
          <w:p>
            <w:pPr>
              <w:pStyle w:val="Compact"/>
              <w:jc w:val="left"/>
            </w:pPr>
            <w:r>
              <w:t xml:space="preserve">11,400.00</w:t>
            </w:r>
          </w:p>
        </w:tc>
      </w:tr>
      <w:tr>
        <w:tc>
          <w:tcPr/>
          <w:p>
            <w:pPr>
              <w:pStyle w:val="Compact"/>
              <w:jc w:val="left"/>
            </w:pPr>
            <w:r>
              <w:t xml:space="preserve">2</w:t>
            </w:r>
          </w:p>
        </w:tc>
        <w:tc>
          <w:tcPr/>
          <w:p>
            <w:pPr>
              <w:pStyle w:val="Compact"/>
              <w:jc w:val="left"/>
            </w:pPr>
            <w:r>
              <w:t xml:space="preserve">Fieldwork – Substantive testing of financial records and transactions</w:t>
            </w:r>
          </w:p>
        </w:tc>
        <w:tc>
          <w:tcPr/>
          <w:p>
            <w:pPr>
              <w:pStyle w:val="Compact"/>
              <w:jc w:val="left"/>
            </w:pPr>
            <w:r>
              <w:t xml:space="preserve">120</w:t>
            </w:r>
          </w:p>
        </w:tc>
        <w:tc>
          <w:tcPr/>
          <w:p>
            <w:pPr>
              <w:pStyle w:val="Compact"/>
              <w:jc w:val="left"/>
            </w:pPr>
            <w:r>
              <w:t xml:space="preserve">265.00</w:t>
            </w:r>
          </w:p>
        </w:tc>
        <w:tc>
          <w:tcPr/>
          <w:p>
            <w:pPr>
              <w:pStyle w:val="Compact"/>
              <w:jc w:val="left"/>
            </w:pPr>
            <w:r>
              <w:t xml:space="preserve">31,800.00</w:t>
            </w:r>
          </w:p>
        </w:tc>
      </w:tr>
      <w:tr>
        <w:tc>
          <w:tcPr/>
          <w:p>
            <w:pPr>
              <w:pStyle w:val="Compact"/>
              <w:jc w:val="left"/>
            </w:pPr>
            <w:r>
              <w:t xml:space="preserve">3</w:t>
            </w:r>
          </w:p>
        </w:tc>
        <w:tc>
          <w:tcPr/>
          <w:p>
            <w:pPr>
              <w:pStyle w:val="Compact"/>
              <w:jc w:val="left"/>
            </w:pPr>
            <w:r>
              <w:t xml:space="preserve">Internal audit and compliance review – Wellington operations</w:t>
            </w:r>
          </w:p>
        </w:tc>
        <w:tc>
          <w:tcPr/>
          <w:p>
            <w:pPr>
              <w:pStyle w:val="Compact"/>
              <w:jc w:val="left"/>
            </w:pPr>
            <w:r>
              <w:t xml:space="preserve">60</w:t>
            </w:r>
          </w:p>
        </w:tc>
        <w:tc>
          <w:tcPr/>
          <w:p>
            <w:pPr>
              <w:pStyle w:val="Compact"/>
              <w:jc w:val="left"/>
            </w:pPr>
            <w:r>
              <w:t xml:space="preserve">245.00</w:t>
            </w:r>
          </w:p>
        </w:tc>
        <w:tc>
          <w:tcPr/>
          <w:p>
            <w:pPr>
              <w:pStyle w:val="Compact"/>
              <w:jc w:val="left"/>
            </w:pPr>
            <w:r>
              <w:t xml:space="preserve">14,700.00</w:t>
            </w:r>
          </w:p>
        </w:tc>
      </w:tr>
      <w:tr>
        <w:tc>
          <w:tcPr/>
          <w:p>
            <w:pPr>
              <w:pStyle w:val="Compact"/>
              <w:jc w:val="left"/>
            </w:pPr>
            <w:r>
              <w:t xml:space="preserve">4</w:t>
            </w:r>
          </w:p>
        </w:tc>
        <w:tc>
          <w:tcPr/>
          <w:p>
            <w:pPr>
              <w:pStyle w:val="Compact"/>
              <w:jc w:val="left"/>
            </w:pPr>
            <w:r>
              <w:t xml:space="preserve">IT audit and data integrity assessment</w:t>
            </w:r>
          </w:p>
        </w:tc>
        <w:tc>
          <w:tcPr/>
          <w:p>
            <w:pPr>
              <w:pStyle w:val="Compact"/>
              <w:jc w:val="left"/>
            </w:pPr>
            <w:r>
              <w:t xml:space="preserve">30</w:t>
            </w:r>
          </w:p>
        </w:tc>
        <w:tc>
          <w:tcPr/>
          <w:p>
            <w:pPr>
              <w:pStyle w:val="Compact"/>
              <w:jc w:val="left"/>
            </w:pPr>
            <w:r>
              <w:t xml:space="preserve">310.00</w:t>
            </w:r>
          </w:p>
        </w:tc>
        <w:tc>
          <w:tcPr/>
          <w:p>
            <w:pPr>
              <w:pStyle w:val="Compact"/>
              <w:jc w:val="left"/>
            </w:pPr>
            <w:r>
              <w:t xml:space="preserve">9,300.00</w:t>
            </w:r>
          </w:p>
        </w:tc>
      </w:tr>
      <w:tr>
        <w:tc>
          <w:tcPr/>
          <w:p>
            <w:pPr>
              <w:pStyle w:val="Compact"/>
              <w:jc w:val="left"/>
            </w:pPr>
            <w:r>
              <w:t xml:space="preserve">5</w:t>
            </w:r>
          </w:p>
        </w:tc>
        <w:tc>
          <w:tcPr/>
          <w:p>
            <w:pPr>
              <w:pStyle w:val="Compact"/>
              <w:jc w:val="left"/>
            </w:pPr>
            <w:r>
              <w:t xml:space="preserve">Preparation of Auditor's Report and Management Letter</w:t>
            </w:r>
          </w:p>
        </w:tc>
        <w:tc>
          <w:tcPr/>
          <w:p>
            <w:pPr>
              <w:pStyle w:val="Compact"/>
              <w:jc w:val="left"/>
            </w:pPr>
            <w:r>
              <w:t xml:space="preserve">25</w:t>
            </w:r>
          </w:p>
        </w:tc>
        <w:tc>
          <w:tcPr/>
          <w:p>
            <w:pPr>
              <w:pStyle w:val="Compact"/>
              <w:jc w:val="left"/>
            </w:pPr>
            <w:r>
              <w:t xml:space="preserve">285.00</w:t>
            </w:r>
          </w:p>
        </w:tc>
        <w:tc>
          <w:tcPr/>
          <w:p>
            <w:pPr>
              <w:pStyle w:val="Compact"/>
              <w:jc w:val="left"/>
            </w:pPr>
            <w:r>
              <w:t xml:space="preserve">7,125.00</w:t>
            </w:r>
          </w:p>
        </w:tc>
      </w:tr>
      <w:tr>
        <w:tc>
          <w:tcPr/>
          <w:p>
            <w:pPr>
              <w:pStyle w:val="Compact"/>
              <w:jc w:val="left"/>
            </w:pPr>
            <w:r>
              <w:t xml:space="preserve">6</w:t>
            </w:r>
          </w:p>
        </w:tc>
        <w:tc>
          <w:tcPr/>
          <w:p>
            <w:pPr>
              <w:pStyle w:val="Compact"/>
              <w:jc w:val="left"/>
            </w:pPr>
            <w:r>
              <w:t xml:space="preserve">Final review, quality assurance, and sign-off by Principal Auditor</w:t>
            </w:r>
          </w:p>
        </w:tc>
        <w:tc>
          <w:tcPr/>
          <w:p>
            <w:pPr>
              <w:pStyle w:val="Compact"/>
              <w:jc w:val="left"/>
            </w:pPr>
            <w:r>
              <w:t xml:space="preserve">15</w:t>
            </w:r>
          </w:p>
        </w:tc>
        <w:tc>
          <w:tcPr/>
          <w:p>
            <w:pPr>
              <w:pStyle w:val="Compact"/>
              <w:jc w:val="left"/>
            </w:pPr>
            <w:r>
              <w:t xml:space="preserve">350.00</w:t>
            </w:r>
          </w:p>
        </w:tc>
        <w:tc>
          <w:tcPr/>
          <w:p>
            <w:pPr>
              <w:pStyle w:val="Compact"/>
              <w:jc w:val="left"/>
            </w:pPr>
            <w:r>
              <w:t xml:space="preserve">5,250.00</w:t>
            </w:r>
          </w:p>
        </w:tc>
      </w:tr>
      <w:tr>
        <w:tc>
          <w:tcPr/>
          <w:p>
            <w:pPr>
              <w:pStyle w:val="Compact"/>
              <w:jc w:val="left"/>
            </w:pPr>
            <w:r>
              <w:t xml:space="preserve">7</w:t>
            </w:r>
          </w:p>
        </w:tc>
        <w:tc>
          <w:tcPr/>
          <w:p>
            <w:pPr>
              <w:pStyle w:val="Compact"/>
              <w:jc w:val="left"/>
            </w:pPr>
            <w:r>
              <w:t xml:space="preserve">Travel and local expenses within New Zealand Wellington</w:t>
            </w:r>
          </w:p>
        </w:tc>
        <w:tc>
          <w:tcPr/>
          <w:p>
            <w:pPr>
              <w:pStyle w:val="Compact"/>
              <w:jc w:val="left"/>
            </w:pPr>
            <w:r>
              <w:t xml:space="preserve">—</w:t>
            </w:r>
          </w:p>
        </w:tc>
        <w:tc>
          <w:tcPr/>
          <w:p>
            <w:pPr>
              <w:pStyle w:val="Compact"/>
              <w:jc w:val="left"/>
            </w:pPr>
            <w:r>
              <w:t xml:space="preserve">—</w:t>
            </w:r>
          </w:p>
        </w:tc>
        <w:tc>
          <w:tcPr/>
          <w:p>
            <w:pPr>
              <w:pStyle w:val="Compact"/>
              <w:jc w:val="left"/>
            </w:pPr>
            <w:r>
              <w:t xml:space="preserve">1,200.00</w:t>
            </w:r>
          </w:p>
        </w:tc>
      </w:tr>
      <w:tr>
        <w:tc>
          <w:tcPr>
            <w:gridSpan w:val="4"/>
          </w:tcPr>
          <w:p>
            <w:pPr>
              <w:pStyle w:val="Compact"/>
              <w:jc w:val="left"/>
            </w:pPr>
            <w:r>
              <w:t xml:space="preserve">Subtotal (excl. GST)</w:t>
            </w:r>
          </w:p>
        </w:tc>
        <w:tc>
          <w:tcPr/>
          <w:p>
            <w:pPr>
              <w:pStyle w:val="Compact"/>
              <w:jc w:val="left"/>
            </w:pPr>
            <w:r>
              <w:t xml:space="preserve">80,775.00</w:t>
            </w:r>
          </w:p>
        </w:tc>
      </w:tr>
      <w:tr>
        <w:tc>
          <w:tcPr>
            <w:gridSpan w:val="4"/>
          </w:tcPr>
          <w:p>
            <w:pPr>
              <w:pStyle w:val="Compact"/>
              <w:jc w:val="left"/>
            </w:pPr>
            <w:r>
              <w:t xml:space="preserve">GST @ 15%</w:t>
            </w:r>
          </w:p>
        </w:tc>
        <w:tc>
          <w:tcPr/>
          <w:p>
            <w:pPr>
              <w:pStyle w:val="Compact"/>
              <w:jc w:val="left"/>
            </w:pPr>
            <w:r>
              <w:t xml:space="preserve">12,116.25</w:t>
            </w:r>
          </w:p>
        </w:tc>
      </w:tr>
      <w:tr>
        <w:tc>
          <w:tcPr>
            <w:gridSpan w:val="4"/>
          </w:tcPr>
          <w:p>
            <w:pPr>
              <w:pStyle w:val="Compact"/>
              <w:jc w:val="left"/>
            </w:pPr>
            <w:r>
              <w:rPr>
                <w:bCs/>
                <w:b/>
              </w:rPr>
              <w:t xml:space="preserve">Total Quotation Estimate (incl. GST)</w:t>
            </w:r>
          </w:p>
        </w:tc>
        <w:tc>
          <w:tcPr/>
          <w:p>
            <w:pPr>
              <w:pStyle w:val="Compact"/>
              <w:jc w:val="left"/>
            </w:pPr>
            <w:r>
              <w:rPr>
                <w:bCs/>
                <w:b/>
              </w:rPr>
              <w:t xml:space="preserve">92,891.25</w:t>
            </w:r>
          </w:p>
        </w:tc>
      </w:tr>
    </w:tbl>
    <w:p>
      <w:pPr>
        <w:pStyle w:val="BodyText"/>
      </w:pPr>
      <w:r>
        <w:t xml:space="preserve">4. Timeline and Deliverables</w:t>
      </w:r>
    </w:p>
    <w:p>
      <w:pPr>
        <w:pStyle w:val="BodyText"/>
      </w:pPr>
      <w:r>
        <w:t xml:space="preserve">The</w:t>
      </w:r>
      <w:r>
        <w:t xml:space="preserve"> </w:t>
      </w:r>
      <w:r>
        <w:t xml:space="preserve">Auditor</w:t>
      </w:r>
      <w:r>
        <w:t xml:space="preserve"> </w:t>
      </w:r>
      <w:r>
        <w:t xml:space="preserve">engagement is anticipated to commence on 1 August 2025 and conclude by 30 September 2025. Key milestones include the completion of the planning phase by 15 August 2025, fieldwork completion by 20 September 2025, and delivery of the final</w:t>
      </w:r>
      <w:r>
        <w:t xml:space="preserve"> </w:t>
      </w:r>
      <w:r>
        <w:t xml:space="preserve">Auditor</w:t>
      </w:r>
      <w:r>
        <w:t xml:space="preserve">'s Report and Management Letter by 30 September 2025. All deliverables will be provided in both digital (PDF) and hard-copy format to the client's designated representative in</w:t>
      </w:r>
      <w:r>
        <w:t xml:space="preserve"> </w:t>
      </w:r>
      <w:r>
        <w:t xml:space="preserve">New Zealand Wellington</w:t>
      </w:r>
      <w:r>
        <w:t xml:space="preserve">.</w:t>
      </w:r>
    </w:p>
    <w:p>
      <w:pPr>
        <w:pStyle w:val="BodyText"/>
      </w:pPr>
      <w:r>
        <w:t xml:space="preserve">5. Terms and Conditions</w:t>
      </w:r>
    </w:p>
    <w:p>
      <w:pPr>
        <w:pStyle w:val="BodyText"/>
      </w:pPr>
      <w:r>
        <w:t xml:space="preserve">5.1 This</w:t>
      </w:r>
      <w:r>
        <w:t xml:space="preserve"> </w:t>
      </w:r>
      <w:r>
        <w:t xml:space="preserve">Quotation Estimate</w:t>
      </w:r>
      <w:r>
        <w:t xml:space="preserve"> </w:t>
      </w:r>
      <w:r>
        <w:t xml:space="preserve">is valid for thirty (30) calendar days from the date of issue. Upon expiry, fees may be subject to revision based on prevailing market conditions in</w:t>
      </w:r>
      <w:r>
        <w:t xml:space="preserve"> </w:t>
      </w:r>
      <w:r>
        <w:t xml:space="preserve">New Zealand Wellington</w:t>
      </w:r>
      <w:r>
        <w:t xml:space="preserve">.</w:t>
      </w:r>
    </w:p>
    <w:p>
      <w:pPr>
        <w:pStyle w:val="BodyText"/>
      </w:pPr>
      <w:r>
        <w:t xml:space="preserve">5.2 Payment terms: 30% deposit upon acceptance of this</w:t>
      </w:r>
      <w:r>
        <w:t xml:space="preserve"> </w:t>
      </w:r>
      <w:r>
        <w:t xml:space="preserve">Quotation Estimate</w:t>
      </w:r>
      <w:r>
        <w:t xml:space="preserve">, 40% upon completion of fieldwork, and the remaining 30% upon delivery of the final</w:t>
      </w:r>
      <w:r>
        <w:t xml:space="preserve"> </w:t>
      </w:r>
      <w:r>
        <w:t xml:space="preserve">Auditor</w:t>
      </w:r>
      <w:r>
        <w:t xml:space="preserve">'s Report. All payments are due within fourteen (14) days of invoice date.</w:t>
      </w:r>
    </w:p>
    <w:p>
      <w:pPr>
        <w:pStyle w:val="BodyText"/>
      </w:pPr>
      <w:r>
        <w:t xml:space="preserve">5.3 The</w:t>
      </w:r>
      <w:r>
        <w:t xml:space="preserve"> </w:t>
      </w:r>
      <w:r>
        <w:t xml:space="preserve">Auditor</w:t>
      </w:r>
      <w:r>
        <w:t xml:space="preserve"> </w:t>
      </w:r>
      <w:r>
        <w:t xml:space="preserve">shall maintain strict confidentiality of all client information in accordance with the Privacy Act 2020 (New Zealand) and professional ethical standards set by the New Zealand Institute of Chartered Accountants (NZICA).</w:t>
      </w:r>
    </w:p>
    <w:p>
      <w:pPr>
        <w:pStyle w:val="BodyText"/>
      </w:pPr>
      <w:r>
        <w:t xml:space="preserve">5.4 This</w:t>
      </w:r>
      <w:r>
        <w:t xml:space="preserve"> </w:t>
      </w:r>
      <w:r>
        <w:t xml:space="preserve">Quotation Estimate</w:t>
      </w:r>
      <w:r>
        <w:t xml:space="preserve"> </w:t>
      </w:r>
      <w:r>
        <w:t xml:space="preserve">is subject to the standard terms of engagement as set out in the firm's Master Service Agreement. Any additional work requested beyond the scope defined herein will be subject to a supplementary</w:t>
      </w:r>
      <w:r>
        <w:t xml:space="preserve"> </w:t>
      </w:r>
      <w:r>
        <w:t xml:space="preserve">Quotation Estimate</w:t>
      </w:r>
      <w:r>
        <w:t xml:space="preserve">.</w:t>
      </w:r>
    </w:p>
    <w:p>
      <w:pPr>
        <w:pStyle w:val="BodyText"/>
      </w:pPr>
      <w:r>
        <w:t xml:space="preserve">5.5 The</w:t>
      </w:r>
      <w:r>
        <w:t xml:space="preserve"> </w:t>
      </w:r>
      <w:r>
        <w:t xml:space="preserve">Auditor</w:t>
      </w:r>
      <w:r>
        <w:t xml:space="preserve"> </w:t>
      </w:r>
      <w:r>
        <w:t xml:space="preserve">reserves the right to withdraw from the engagement if material non-compliance or fraud is identified and the client fails to take corrective action within a reasonable timeframe.</w:t>
      </w:r>
    </w:p>
    <w:p>
      <w:pPr>
        <w:pStyle w:val="BodyText"/>
      </w:pPr>
      <w:r>
        <w:t xml:space="preserve">5.6 All disputes arising from this engagement shall be resolved in accordance with the laws of New Zealand and, where applicable, through the Disputes Tribunal or the High Court of New Zealand in Wellington.</w:t>
      </w:r>
    </w:p>
    <w:p>
      <w:pPr>
        <w:pStyle w:val="BodyText"/>
      </w:pPr>
      <w:r>
        <w:t xml:space="preserve">6. Acceptance</w:t>
      </w:r>
    </w:p>
    <w:p>
      <w:pPr>
        <w:pStyle w:val="BodyText"/>
      </w:pPr>
      <w:r>
        <w:t xml:space="preserve">By signing below, the client acknowledges and accepts this</w:t>
      </w:r>
      <w:r>
        <w:t xml:space="preserve"> </w:t>
      </w:r>
      <w:r>
        <w:t xml:space="preserve">Quotation Estimate</w:t>
      </w:r>
      <w:r>
        <w:t xml:space="preserve"> </w:t>
      </w:r>
      <w:r>
        <w:t xml:space="preserve">for</w:t>
      </w:r>
      <w:r>
        <w:t xml:space="preserve"> </w:t>
      </w:r>
      <w:r>
        <w:t xml:space="preserve">Auditor</w:t>
      </w:r>
      <w:r>
        <w:t xml:space="preserve"> </w:t>
      </w:r>
      <w:r>
        <w:t xml:space="preserve">services to be performed in</w:t>
      </w:r>
      <w:r>
        <w:t xml:space="preserve"> </w:t>
      </w:r>
      <w:r>
        <w:t xml:space="preserve">New Zealand Wellington</w:t>
      </w:r>
      <w:r>
        <w:t xml:space="preserve">. The client confirms that they have read, understood, and agree to all terms and conditions outlined in this document.</w:t>
      </w:r>
    </w:p>
    <w:p>
      <w:pPr>
        <w:pStyle w:val="BodyText"/>
      </w:pPr>
      <w:r>
        <w:rPr>
          <w:bCs/>
          <w:b/>
        </w:rPr>
        <w:t xml:space="preserve">For and on behalf of Wellington Audit &amp; Assurance Partners Ltd</w:t>
      </w:r>
    </w:p>
    <w:p>
      <w:pPr>
        <w:pStyle w:val="BodyText"/>
      </w:pPr>
      <w:r>
        <w:t xml:space="preserve">Name: Sarah Mitchell</w:t>
      </w:r>
    </w:p>
    <w:p>
      <w:pPr>
        <w:pStyle w:val="BodyText"/>
      </w:pPr>
      <w:r>
        <w:t xml:space="preserve">Title: Principal Auditor</w:t>
      </w:r>
    </w:p>
    <w:p>
      <w:pPr>
        <w:pStyle w:val="BodyText"/>
      </w:pPr>
      <w:r>
        <w:t xml:space="preserve">Date: ____________________</w:t>
      </w:r>
    </w:p>
    <w:p>
      <w:pPr>
        <w:pStyle w:val="BodyText"/>
      </w:pPr>
      <w:r>
        <w:rPr>
          <w:bCs/>
          <w:b/>
        </w:rPr>
        <w:t xml:space="preserve">For and on behalf of the Client</w:t>
      </w:r>
    </w:p>
    <w:p>
      <w:pPr>
        <w:pStyle w:val="BodyText"/>
      </w:pPr>
      <w:r>
        <w:t xml:space="preserve">Name: ____________________</w:t>
      </w:r>
    </w:p>
    <w:p>
      <w:pPr>
        <w:pStyle w:val="BodyText"/>
      </w:pPr>
      <w:r>
        <w:t xml:space="preserve">Title: ____________________</w:t>
      </w:r>
    </w:p>
    <w:p>
      <w:pPr>
        <w:pStyle w:val="BodyText"/>
      </w:pPr>
      <w:r>
        <w:t xml:space="preserve">Date: ____________________</w:t>
      </w:r>
    </w:p>
    <w:p>
      <w:pPr>
        <w:pStyle w:val="BodyText"/>
      </w:pPr>
      <w:r>
        <w:t xml:space="preserve">Wellington Audit &amp; Assurance Partners Ltd | Level 12, 121 Lambton Quay, Wellington 6011, New Zealand</w:t>
      </w:r>
    </w:p>
    <w:p>
      <w:pPr>
        <w:pStyle w:val="BodyText"/>
      </w:pPr>
      <w:r>
        <w:t xml:space="preserve">This Quotation Estimate document is the property of Wellington Audit &amp; Assurance Partners Ltd and is issued solely for the named client. Unauthorised reproduction or distribution is prohibited.</w:t>
      </w:r>
    </w:p>
    <w:p>
      <w:pPr>
        <w:pStyle w:val="BodyText"/>
      </w:pPr>
      <w:r>
        <w:t xml:space="preserve">Document Reference: WAA-2025-04871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New Zealand Wellington</dc:title>
  <dc:creator/>
  <dc:language>en</dc:language>
  <cp:keywords/>
  <dcterms:created xsi:type="dcterms:W3CDTF">2026-10-10T01:24:02Z</dcterms:created>
  <dcterms:modified xsi:type="dcterms:W3CDTF">2026-10-10T01:24:02Z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