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Auditor Services — Pakistan Islamabad</w:t>
      </w:r>
    </w:p>
    <w:bookmarkEnd w:id="20"/>
    <w:bookmarkStart w:id="21" w:name="service-provider"/>
    <w:p>
      <w:pPr>
        <w:pStyle w:val="Heading3"/>
      </w:pPr>
      <w:r>
        <w:t xml:space="preserve">Service Provider</w:t>
      </w:r>
    </w:p>
    <w:p>
      <w:pPr>
        <w:pStyle w:val="FirstParagraph"/>
      </w:pPr>
      <w:r>
        <w:rPr>
          <w:bCs/>
          <w:b/>
        </w:rPr>
        <w:t xml:space="preserve">Al-Madina Audit &amp; Advisory Partners</w:t>
      </w:r>
    </w:p>
    <w:p>
      <w:pPr>
        <w:pStyle w:val="BodyText"/>
      </w:pPr>
      <w:r>
        <w:t xml:space="preserve">Office 12, 4th Floor, Blue Area</w:t>
      </w:r>
    </w:p>
    <w:p>
      <w:pPr>
        <w:pStyle w:val="BodyText"/>
      </w:pPr>
      <w:r>
        <w:t xml:space="preserve">Islamabad, Pakistan</w:t>
      </w:r>
    </w:p>
    <w:p>
      <w:pPr>
        <w:pStyle w:val="BodyText"/>
      </w:pPr>
      <w:r>
        <w:t xml:space="preserve">Phone: +92-51-220-4567</w:t>
      </w:r>
    </w:p>
    <w:p>
      <w:pPr>
        <w:pStyle w:val="BodyText"/>
      </w:pPr>
      <w:r>
        <w:t xml:space="preserve">Email: quotations@almadinaaudit.pk</w:t>
      </w:r>
    </w:p>
    <w:p>
      <w:pPr>
        <w:pStyle w:val="BodyText"/>
      </w:pPr>
      <w:r>
        <w:t xml:space="preserve">NTN: 1234567-8</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[To be filled], Islamabad</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bookmarkEnd w:id="22"/>
    <w:p>
      <w:pPr>
        <w:pStyle w:val="BodyText"/>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Pakistan Islamabad (and surrounding districts as applicable)</w:t>
      </w:r>
    </w:p>
    <w:p>
      <w:pPr>
        <w:pStyle w:val="BodyText"/>
      </w:pPr>
      <w:r>
        <w:rPr>
          <w:bCs/>
          <w:b/>
        </w:rPr>
        <w:t xml:space="preserve">Engagement Type:</w:t>
      </w:r>
      <w:r>
        <w:t xml:space="preserve"> </w:t>
      </w:r>
      <w:r>
        <w:t xml:space="preserve">Annual Statutory Audit &amp; Advisory</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Al-Madina Audit &amp; Advisory Partners to provide a comprehensive and transparent breakdown of professional fees, expenses, and deliverables associated with the engagement of a qualified</w:t>
      </w:r>
      <w:r>
        <w:t xml:space="preserve"> </w:t>
      </w:r>
      <w:r>
        <w:t xml:space="preserve">Auditor</w:t>
      </w:r>
      <w:r>
        <w:t xml:space="preserve"> </w:t>
      </w:r>
      <w:r>
        <w:t xml:space="preserve">for the financial year 2024–2025. This document is prepared specifically for clients operating within</w:t>
      </w:r>
      <w:r>
        <w:t xml:space="preserve"> </w:t>
      </w:r>
      <w:r>
        <w:t xml:space="preserve">Pakistan Islamabad</w:t>
      </w:r>
      <w:r>
        <w:t xml:space="preserve"> </w:t>
      </w:r>
      <w:r>
        <w:t xml:space="preserve">and its metropolitan area, ensuring compliance with the Securities and Exchange Commission of Pakistan (SECP) regulations, the Pakistan Standards on Auditing (PSA), and the Income Tax Ordinance 2001 as administered by the Federal Board of Revenue (FBR) Islamabad Regional Office.</w:t>
      </w:r>
    </w:p>
    <w:bookmarkEnd w:id="23"/>
    <w:bookmarkStart w:id="24"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shall perform the following professional services within the jurisdiction of</w:t>
      </w:r>
      <w:r>
        <w:t xml:space="preserve"> </w:t>
      </w:r>
      <w:r>
        <w:t xml:space="preserve">Pakistan Islamabad</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Fee (PKR)</w:t>
            </w:r>
          </w:p>
        </w:tc>
      </w:tr>
      <w:tr>
        <w:tc>
          <w:tcPr/>
          <w:p>
            <w:pPr>
              <w:pStyle w:val="Compact"/>
              <w:jc w:val="left"/>
            </w:pPr>
            <w:r>
              <w:t xml:space="preserve">1</w:t>
            </w:r>
          </w:p>
        </w:tc>
        <w:tc>
          <w:tcPr/>
          <w:p>
            <w:pPr>
              <w:pStyle w:val="Compact"/>
              <w:jc w:val="left"/>
            </w:pPr>
            <w:r>
              <w:t xml:space="preserve">Annual Statutory Financial Audit of General Purpose Financial Statements (Balance Sheet, Income Statement, Cash Flow, Statement of Changes in Equity) in accordance with PSA 200 series</w:t>
            </w:r>
          </w:p>
        </w:tc>
        <w:tc>
          <w:tcPr/>
          <w:p>
            <w:pPr>
              <w:pStyle w:val="Compact"/>
              <w:jc w:val="left"/>
            </w:pPr>
            <w:r>
              <w:t xml:space="preserve">One-time (FY 2024–25)</w:t>
            </w:r>
          </w:p>
        </w:tc>
        <w:tc>
          <w:tcPr/>
          <w:p>
            <w:pPr>
              <w:pStyle w:val="Compact"/>
              <w:jc w:val="left"/>
            </w:pPr>
            <w:r>
              <w:t xml:space="preserve">PKR 450,000</w:t>
            </w:r>
          </w:p>
        </w:tc>
      </w:tr>
      <w:tr>
        <w:tc>
          <w:tcPr/>
          <w:p>
            <w:pPr>
              <w:pStyle w:val="Compact"/>
              <w:jc w:val="left"/>
            </w:pPr>
            <w:r>
              <w:t xml:space="preserve">2</w:t>
            </w:r>
          </w:p>
        </w:tc>
        <w:tc>
          <w:tcPr/>
          <w:p>
            <w:pPr>
              <w:pStyle w:val="Compact"/>
              <w:jc w:val="left"/>
            </w:pPr>
            <w:r>
              <w:t xml:space="preserve">Internal Control Assessment and Management Letter with recommendations for process improvement</w:t>
            </w:r>
          </w:p>
        </w:tc>
        <w:tc>
          <w:tcPr/>
          <w:p>
            <w:pPr>
              <w:pStyle w:val="Compact"/>
              <w:jc w:val="left"/>
            </w:pPr>
            <w:r>
              <w:t xml:space="preserve">One-time</w:t>
            </w:r>
          </w:p>
        </w:tc>
        <w:tc>
          <w:tcPr/>
          <w:p>
            <w:pPr>
              <w:pStyle w:val="Compact"/>
              <w:jc w:val="left"/>
            </w:pPr>
            <w:r>
              <w:t xml:space="preserve">PKR 175,000</w:t>
            </w:r>
          </w:p>
        </w:tc>
      </w:tr>
      <w:tr>
        <w:tc>
          <w:tcPr/>
          <w:p>
            <w:pPr>
              <w:pStyle w:val="Compact"/>
              <w:jc w:val="left"/>
            </w:pPr>
            <w:r>
              <w:t xml:space="preserve">3</w:t>
            </w:r>
          </w:p>
        </w:tc>
        <w:tc>
          <w:tcPr/>
          <w:p>
            <w:pPr>
              <w:pStyle w:val="Compact"/>
              <w:jc w:val="left"/>
            </w:pPr>
            <w:r>
              <w:t xml:space="preserve">Tax Compliance Review and FBR Islamabad Filing Support (Income Tax Return, Sales Tax, Withholding Tax reconciliation)</w:t>
            </w:r>
          </w:p>
        </w:tc>
        <w:tc>
          <w:tcPr/>
          <w:p>
            <w:pPr>
              <w:pStyle w:val="Compact"/>
              <w:jc w:val="left"/>
            </w:pPr>
            <w:r>
              <w:t xml:space="preserve">Quarterly (4 visits)</w:t>
            </w:r>
          </w:p>
        </w:tc>
        <w:tc>
          <w:tcPr/>
          <w:p>
            <w:pPr>
              <w:pStyle w:val="Compact"/>
              <w:jc w:val="left"/>
            </w:pPr>
            <w:r>
              <w:t xml:space="preserve">PKR 120,000</w:t>
            </w:r>
          </w:p>
        </w:tc>
      </w:tr>
      <w:tr>
        <w:tc>
          <w:tcPr/>
          <w:p>
            <w:pPr>
              <w:pStyle w:val="Compact"/>
              <w:jc w:val="left"/>
            </w:pPr>
            <w:r>
              <w:t xml:space="preserve">4</w:t>
            </w:r>
          </w:p>
        </w:tc>
        <w:tc>
          <w:tcPr/>
          <w:p>
            <w:pPr>
              <w:pStyle w:val="Compact"/>
              <w:jc w:val="left"/>
            </w:pPr>
            <w:r>
              <w:t xml:space="preserve">SECP Annual Filing and Annual Return Preparation for entities registered in Islamabad</w:t>
            </w:r>
          </w:p>
        </w:tc>
        <w:tc>
          <w:tcPr/>
          <w:p>
            <w:pPr>
              <w:pStyle w:val="Compact"/>
              <w:jc w:val="left"/>
            </w:pPr>
            <w:r>
              <w:t xml:space="preserve">One-time</w:t>
            </w:r>
          </w:p>
        </w:tc>
        <w:tc>
          <w:tcPr/>
          <w:p>
            <w:pPr>
              <w:pStyle w:val="Compact"/>
              <w:jc w:val="left"/>
            </w:pPr>
            <w:r>
              <w:t xml:space="preserve">PKR 65,000</w:t>
            </w:r>
          </w:p>
        </w:tc>
      </w:tr>
      <w:tr>
        <w:tc>
          <w:tcPr/>
          <w:p>
            <w:pPr>
              <w:pStyle w:val="Compact"/>
              <w:jc w:val="left"/>
            </w:pPr>
            <w:r>
              <w:t xml:space="preserve">5</w:t>
            </w:r>
          </w:p>
        </w:tc>
        <w:tc>
          <w:tcPr/>
          <w:p>
            <w:pPr>
              <w:pStyle w:val="Compact"/>
              <w:jc w:val="left"/>
            </w:pPr>
            <w:r>
              <w:t xml:space="preserve">Monthly Bookkeeping, Reconciliation, and Management Accounts (on-site at client premises in Islamabad)</w:t>
            </w:r>
          </w:p>
        </w:tc>
        <w:tc>
          <w:tcPr/>
          <w:p>
            <w:pPr>
              <w:pStyle w:val="Compact"/>
              <w:jc w:val="left"/>
            </w:pPr>
            <w:r>
              <w:t xml:space="preserve">12 months</w:t>
            </w:r>
          </w:p>
        </w:tc>
        <w:tc>
          <w:tcPr/>
          <w:p>
            <w:pPr>
              <w:pStyle w:val="Compact"/>
              <w:jc w:val="left"/>
            </w:pPr>
            <w:r>
              <w:t xml:space="preserve">PKR 96,000 (PKR 8,000/month)</w:t>
            </w:r>
          </w:p>
        </w:tc>
      </w:tr>
      <w:tr>
        <w:tc>
          <w:tcPr/>
          <w:p>
            <w:pPr>
              <w:pStyle w:val="Compact"/>
              <w:jc w:val="left"/>
            </w:pPr>
            <w:r>
              <w:t xml:space="preserve">6</w:t>
            </w:r>
          </w:p>
        </w:tc>
        <w:tc>
          <w:tcPr/>
          <w:p>
            <w:pPr>
              <w:pStyle w:val="Compact"/>
              <w:jc w:val="left"/>
            </w:pPr>
            <w:r>
              <w:t xml:space="preserve">Ad-hoc Advisory Consultation (up to 20 hours) for regulatory, compliance, and governance matters specific to the Islamabad business environment</w:t>
            </w:r>
          </w:p>
        </w:tc>
        <w:tc>
          <w:tcPr/>
          <w:p>
            <w:pPr>
              <w:pStyle w:val="Compact"/>
              <w:jc w:val="left"/>
            </w:pPr>
            <w:r>
              <w:t xml:space="preserve">As required</w:t>
            </w:r>
          </w:p>
        </w:tc>
        <w:tc>
          <w:tcPr/>
          <w:p>
            <w:pPr>
              <w:pStyle w:val="Compact"/>
              <w:jc w:val="left"/>
            </w:pPr>
            <w:r>
              <w:t xml:space="preserve">PKR 80,000</w:t>
            </w:r>
          </w:p>
        </w:tc>
      </w:tr>
      <w:tr>
        <w:tc>
          <w:tcPr/>
          <w:p>
            <w:pPr>
              <w:pStyle w:val="Compact"/>
              <w:jc w:val="left"/>
            </w:pPr>
            <w:r>
              <w:t xml:space="preserve">7</w:t>
            </w:r>
          </w:p>
        </w:tc>
        <w:tc>
          <w:tcPr/>
          <w:p>
            <w:pPr>
              <w:pStyle w:val="Compact"/>
              <w:jc w:val="left"/>
            </w:pPr>
            <w:r>
              <w:t xml:space="preserve">Travel and Local Transportation within Islamabad Capital Territory (ICT) for on-site audit procedures</w:t>
            </w:r>
          </w:p>
        </w:tc>
        <w:tc>
          <w:tcPr/>
          <w:p>
            <w:pPr>
              <w:pStyle w:val="Compact"/>
              <w:jc w:val="left"/>
            </w:pPr>
            <w:r>
              <w:t xml:space="preserve">As applicable</w:t>
            </w:r>
          </w:p>
        </w:tc>
        <w:tc>
          <w:tcPr/>
          <w:p>
            <w:pPr>
              <w:pStyle w:val="Compact"/>
              <w:jc w:val="left"/>
            </w:pPr>
            <w:r>
              <w:t xml:space="preserve">PKR 25,000</w:t>
            </w:r>
          </w:p>
        </w:tc>
      </w:tr>
      <w:tr>
        <w:tc>
          <w:tcPr/>
          <w:p>
            <w:pPr>
              <w:pStyle w:val="Compact"/>
              <w:jc w:val="left"/>
            </w:pPr>
            <w:r>
              <w:t xml:space="preserve">8</w:t>
            </w:r>
          </w:p>
        </w:tc>
        <w:tc>
          <w:tcPr/>
          <w:p>
            <w:pPr>
              <w:pStyle w:val="Compact"/>
              <w:jc w:val="left"/>
            </w:pPr>
            <w:r>
              <w:t xml:space="preserve">Printing, Binding, and Courier of Final Audit Report and Statutory Filings</w:t>
            </w:r>
          </w:p>
        </w:tc>
        <w:tc>
          <w:tcPr/>
          <w:p>
            <w:pPr>
              <w:pStyle w:val="Compact"/>
              <w:jc w:val="left"/>
            </w:pPr>
            <w:r>
              <w:t xml:space="preserve">One-time</w:t>
            </w:r>
          </w:p>
        </w:tc>
        <w:tc>
          <w:tcPr/>
          <w:p>
            <w:pPr>
              <w:pStyle w:val="Compact"/>
              <w:jc w:val="left"/>
            </w:pPr>
            <w:r>
              <w:t xml:space="preserve">PKR 12,000</w:t>
            </w:r>
          </w:p>
        </w:tc>
      </w:tr>
      <w:tr>
        <w:tc>
          <w:tcPr>
            <w:gridSpan w:val="3"/>
          </w:tcPr>
          <w:p>
            <w:pPr>
              <w:pStyle w:val="Compact"/>
              <w:jc w:val="left"/>
            </w:pPr>
            <w:r>
              <w:t xml:space="preserve">Subtotal (Professional Fees &amp; Expenses)</w:t>
            </w:r>
          </w:p>
        </w:tc>
        <w:tc>
          <w:tcPr/>
          <w:p>
            <w:pPr>
              <w:pStyle w:val="Compact"/>
              <w:jc w:val="left"/>
            </w:pPr>
            <w:r>
              <w:t xml:space="preserve">PKR 1,023,000</w:t>
            </w:r>
          </w:p>
        </w:tc>
      </w:tr>
      <w:tr>
        <w:tc>
          <w:tcPr>
            <w:gridSpan w:val="3"/>
          </w:tcPr>
          <w:p>
            <w:pPr>
              <w:pStyle w:val="Compact"/>
              <w:jc w:val="left"/>
            </w:pPr>
            <w:r>
              <w:t xml:space="preserve">Sales Tax @ 18% (as applicable under FBR Islamabad regulations)</w:t>
            </w:r>
          </w:p>
        </w:tc>
        <w:tc>
          <w:tcPr/>
          <w:p>
            <w:pPr>
              <w:pStyle w:val="Compact"/>
              <w:jc w:val="left"/>
            </w:pPr>
            <w:r>
              <w:t xml:space="preserve">PKR 184,140</w:t>
            </w:r>
          </w:p>
        </w:tc>
      </w:tr>
      <w:tr>
        <w:tc>
          <w:tcPr>
            <w:gridSpan w:val="3"/>
          </w:tcPr>
          <w:p>
            <w:pPr>
              <w:pStyle w:val="Compact"/>
              <w:jc w:val="left"/>
            </w:pPr>
            <w:r>
              <w:rPr>
                <w:bCs/>
                <w:b/>
              </w:rPr>
              <w:t xml:space="preserve">Grand Total (Quotation Estimate Amount)</w:t>
            </w:r>
          </w:p>
        </w:tc>
        <w:tc>
          <w:tcPr/>
          <w:p>
            <w:pPr>
              <w:pStyle w:val="Compact"/>
              <w:jc w:val="left"/>
            </w:pPr>
            <w:r>
              <w:rPr>
                <w:bCs/>
                <w:b/>
              </w:rPr>
              <w:t xml:space="preserve">PKR 1,207,140</w:t>
            </w:r>
          </w:p>
        </w:tc>
      </w:tr>
    </w:tbl>
    <w:bookmarkEnd w:id="24"/>
    <w:bookmarkStart w:id="25" w:name="Xfe66970e5e2bcf94143266963f044edeab440f7"/>
    <w:p>
      <w:pPr>
        <w:pStyle w:val="Heading2"/>
      </w:pPr>
      <w:r>
        <w:t xml:space="preserve">3. Auditor Qualifications and Team Composition</w:t>
      </w:r>
    </w:p>
    <w:p>
      <w:pPr>
        <w:pStyle w:val="FirstParagraph"/>
      </w:pPr>
      <w:r>
        <w:t xml:space="preserve">The</w:t>
      </w:r>
      <w:r>
        <w:t xml:space="preserve"> </w:t>
      </w:r>
      <w:r>
        <w:t xml:space="preserve">Auditor</w:t>
      </w:r>
      <w:r>
        <w:t xml:space="preserve"> </w:t>
      </w:r>
      <w:r>
        <w:t xml:space="preserve">assigned to this engagement shall be a Chartered Accountant (CA) duly registered with the Institute of Chartered Accountants of Pakistan (ICAP) and holding a valid Practising Certificate. The engagement team, based in</w:t>
      </w:r>
      <w:r>
        <w:t xml:space="preserve"> </w:t>
      </w:r>
      <w:r>
        <w:t xml:space="preserve">Pakistan Islamabad</w:t>
      </w:r>
      <w:r>
        <w:t xml:space="preserve">, will consist of a Senior Audit Manager (minimum 10 years of experience), two Audit Associates, and a Tax Compliance Specialist. All team members shall adhere to the ICAP Code of Ethics and maintain strict independence and objectivity throughout the audit period.</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fees may be subject to revision based on prevailing market rates in</w:t>
      </w:r>
      <w:r>
        <w:t xml:space="preserve"> </w:t>
      </w:r>
      <w:r>
        <w:t xml:space="preserve">Pakistan Islamabad</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fieldwork, and 20% upon delivery of the final signed audit report.</w:t>
      </w:r>
    </w:p>
    <w:p>
      <w:pPr>
        <w:numPr>
          <w:ilvl w:val="0"/>
          <w:numId w:val="1001"/>
        </w:numPr>
        <w:pStyle w:val="Compact"/>
      </w:pPr>
      <w:r>
        <w:t xml:space="preserve">All fees are quoted in Pakistani Rupees (PKR). Any applicable withholding tax under Section 149 of the Income Tax Ordinance 2001 shall be deducted at source by the client and remitted to the FBR Islamabad office.</w:t>
      </w:r>
    </w:p>
    <w:p>
      <w:pPr>
        <w:numPr>
          <w:ilvl w:val="0"/>
          <w:numId w:val="1001"/>
        </w:numPr>
        <w:pStyle w:val="Compact"/>
      </w:pPr>
      <w:r>
        <w:t xml:space="preserve">The</w:t>
      </w:r>
      <w:r>
        <w:t xml:space="preserve"> </w:t>
      </w:r>
      <w:r>
        <w:t xml:space="preserve">Auditor</w:t>
      </w:r>
      <w:r>
        <w:t xml:space="preserve"> </w:t>
      </w:r>
      <w:r>
        <w:t xml:space="preserve">shall complete the statutory audit within ninety (90) days from the balance sheet date, in compliance with SECP requirements for entities registered in Islamabad.</w:t>
      </w:r>
    </w:p>
    <w:p>
      <w:pPr>
        <w:numPr>
          <w:ilvl w:val="0"/>
          <w:numId w:val="1001"/>
        </w:numPr>
        <w:pStyle w:val="Compact"/>
      </w:pPr>
      <w:r>
        <w:t xml:space="preserve">Client shall provide timely access to all books of accounts, bank statements, physical inventory records, and supporting documentation located at the client's premises in</w:t>
      </w:r>
      <w:r>
        <w:t xml:space="preserve"> </w:t>
      </w:r>
      <w:r>
        <w:t xml:space="preserve">Pakistan Islamabad</w:t>
      </w:r>
      <w:r>
        <w:t xml:space="preserve">.</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shall be billed separately at the standard hourly rate of PKR 8,500 per hour for the Senior Audit Manager and PKR 4,000 per hour for Audit Associates.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engagement letter is executed by both parties.</w:t>
      </w:r>
    </w:p>
    <w:p>
      <w:pPr>
        <w:numPr>
          <w:ilvl w:val="0"/>
          <w:numId w:val="1001"/>
        </w:numPr>
        <w:pStyle w:val="Compact"/>
      </w:pPr>
      <w:r>
        <w:t xml:space="preserve">Confidentiality: All financial data and business information of the client shall be treated as strictly confidential by the</w:t>
      </w:r>
      <w:r>
        <w:t xml:space="preserve"> </w:t>
      </w:r>
      <w:r>
        <w:t xml:space="preserve">Auditor</w:t>
      </w:r>
      <w:r>
        <w:t xml:space="preserve"> </w:t>
      </w:r>
      <w:r>
        <w:t xml:space="preserve">and the firm, in accordance with the ICAP Code of Ethics and the Pakistan Data Protection framework.</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for use within the jurisdiction of</w:t>
      </w:r>
      <w:r>
        <w:t xml:space="preserve"> </w:t>
      </w:r>
      <w:r>
        <w:t xml:space="preserve">Pakistan Islamabad</w:t>
      </w:r>
      <w:r>
        <w:t xml:space="preserve">. It is not transferable. The</w:t>
      </w:r>
      <w:r>
        <w:t xml:space="preserve"> </w:t>
      </w:r>
      <w:r>
        <w:t xml:space="preserve">Auditor</w:t>
      </w:r>
      <w:r>
        <w:t xml:space="preserve"> </w:t>
      </w:r>
      <w:r>
        <w:t xml:space="preserve">reserves the right to withdraw from the engagement if the client fails to provide reasonable cooperation or access to records as stipulated in the terms above.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scope, and fees outlined in this</w:t>
      </w:r>
      <w:r>
        <w:t xml:space="preserve"> </w:t>
      </w:r>
      <w:r>
        <w:t xml:space="preserve">Quotation Estimate</w:t>
      </w:r>
      <w:r>
        <w:t xml:space="preserve"> </w:t>
      </w:r>
      <w:r>
        <w:t xml:space="preserve">for</w:t>
      </w:r>
      <w:r>
        <w:t xml:space="preserve"> </w:t>
      </w:r>
      <w:r>
        <w:t xml:space="preserve">Auditor</w:t>
      </w:r>
      <w:r>
        <w:t xml:space="preserve"> </w:t>
      </w:r>
      <w:r>
        <w:t xml:space="preserve">services in</w:t>
      </w:r>
      <w:r>
        <w:t xml:space="preserve"> </w:t>
      </w:r>
      <w:r>
        <w:t xml:space="preserve">Pakistan Islamabad</w:t>
      </w:r>
      <w:r>
        <w:t xml:space="preserve">.</w:t>
      </w:r>
    </w:p>
    <w:p>
      <w:pPr>
        <w:pStyle w:val="BodyText"/>
      </w:pPr>
      <w:r>
        <w:rPr>
          <w:bCs/>
          <w:b/>
        </w:rPr>
        <w:t xml:space="preserve">For: Al-Madina Audit &amp; Advisory Partners</w:t>
      </w:r>
      <w:r>
        <w:br/>
      </w:r>
      <w:r>
        <w:t xml:space="preserve">Authorized Signatory / Auditor</w:t>
      </w:r>
      <w:r>
        <w:br/>
      </w:r>
      <w:r>
        <w:t xml:space="preserve">Name: _________________________</w:t>
      </w:r>
      <w:r>
        <w:br/>
      </w:r>
      <w:r>
        <w:t xml:space="preserve">CA Registration No.: 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Designation: _________________</w:t>
      </w:r>
      <w:r>
        <w:br/>
      </w:r>
      <w:r>
        <w:t xml:space="preserve">Date: _________________________</w:t>
      </w:r>
    </w:p>
    <w:p>
      <w:pPr>
        <w:pStyle w:val="BodyText"/>
      </w:pPr>
      <w:r>
        <w:t xml:space="preserve">Al-Madina Audit &amp; Advisory Partners — Blue Area, Islamabad, Pakistan — NTN: 1234567-8 — ICAP Firm Registration: FR-2019-0452</w:t>
      </w:r>
    </w:p>
    <w:p>
      <w:pPr>
        <w:pStyle w:val="BodyText"/>
      </w:pPr>
      <w:r>
        <w:t xml:space="preserve">This Quotation Estimate document is generated electronically and is valid without a physical stamp. For queries, contact quotations@almadinaaudit.pk or +92-51-220-4567.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Pakistan Islamabad</dc:title>
  <dc:creator/>
  <dc:language>en</dc:language>
  <cp:keywords/>
  <dcterms:created xsi:type="dcterms:W3CDTF">2026-10-10T02:35:54Z</dcterms:created>
  <dcterms:modified xsi:type="dcterms:W3CDTF">2026-10-10T02:35:54Z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