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Auditor Services — Philippines Manila</w:t>
      </w:r>
    </w:p>
    <w:p>
      <w:pPr>
        <w:pStyle w:val="BodyText"/>
      </w:pPr>
      <w:r>
        <w:t xml:space="preserve">Reference No: QTE-MNL-2025-04782 | Date: June 15, 2025</w:t>
      </w:r>
    </w:p>
    <w:bookmarkEnd w:id="20"/>
    <w:p>
      <w:pPr>
        <w:pStyle w:val="BodyText"/>
      </w:pPr>
      <w:r>
        <w:rPr>
          <w:bCs/>
          <w:b/>
        </w:rPr>
        <w:t xml:space="preserve">Prepared By:</w:t>
      </w:r>
      <w:r>
        <w:br/>
      </w:r>
      <w:r>
        <w:t xml:space="preserve">Meridian Audit &amp; Advisory Partners</w:t>
      </w:r>
      <w:r>
        <w:br/>
      </w:r>
      <w:r>
        <w:t xml:space="preserve">12th Floor, Ayala Center Tower 3</w:t>
      </w:r>
      <w:r>
        <w:br/>
      </w:r>
      <w:r>
        <w:t xml:space="preserve">Makati City, Philippines Manila</w:t>
      </w:r>
      <w:r>
        <w:br/>
      </w:r>
      <w:r>
        <w:t xml:space="preserve">Tel: +63 (2) 8888-4521</w:t>
      </w:r>
      <w:r>
        <w:br/>
      </w:r>
      <w:r>
        <w:t xml:space="preserve">Email: quotations@meridianaudit.ph</w:t>
      </w:r>
    </w:p>
    <w:p>
      <w:pPr>
        <w:pStyle w:val="BodyText"/>
      </w:pPr>
      <w:r>
        <w:rPr>
          <w:bCs/>
          <w:b/>
        </w:rPr>
        <w:t xml:space="preserve">Prepared For:</w:t>
      </w:r>
      <w:r>
        <w:br/>
      </w:r>
      <w:r>
        <w:t xml:space="preserve">[Client Company Name]</w:t>
      </w:r>
      <w:r>
        <w:br/>
      </w:r>
      <w:r>
        <w:t xml:space="preserve">[Client Address]</w:t>
      </w:r>
      <w:r>
        <w:br/>
      </w:r>
      <w:r>
        <w:t xml:space="preserve">Metro Manila, Philippines</w:t>
      </w:r>
      <w:r>
        <w:br/>
      </w:r>
      <w:r>
        <w:t xml:space="preserve">Attn: [Client Contact Person]</w:t>
      </w:r>
      <w:r>
        <w:br/>
      </w:r>
      <w:r>
        <w:t xml:space="preserve">Tel: [Client Phone Number]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Audit &amp; Advisory Partners to provide a comprehensive and transparent breakdown of professional fees for the engagement of a licensed</w:t>
      </w:r>
      <w:r>
        <w:t xml:space="preserve"> </w:t>
      </w:r>
      <w:r>
        <w:t xml:space="preserve">Auditor</w:t>
      </w:r>
      <w:r>
        <w:t xml:space="preserve"> </w:t>
      </w:r>
      <w:r>
        <w:t xml:space="preserve">to conduct a full-scope financial audit for the fiscal year ending December 31, 2025. This document is specifically tailored for operations and compliance requirements within</w:t>
      </w:r>
      <w:r>
        <w:t xml:space="preserve"> </w:t>
      </w:r>
      <w:r>
        <w:t xml:space="preserve">Philippines Manila</w:t>
      </w:r>
      <w:r>
        <w:t xml:space="preserve">, in accordance with the standards set by the Board of Accountancy of the Philippines, the Philippine Institute of Certified Public Accountants (PICPA), and the applicable provisions of the Revised Financial Reporting Standards (FRS) issued by the Financial Reporting Standards Council (FRSC).</w:t>
      </w:r>
    </w:p>
    <w:p>
      <w:pPr>
        <w:pStyle w:val="BodyText"/>
      </w:pPr>
      <w:r>
        <w:t xml:space="preserve">The</w:t>
      </w:r>
      <w:r>
        <w:t xml:space="preserve"> </w:t>
      </w:r>
      <w:r>
        <w:t xml:space="preserve">Auditor</w:t>
      </w:r>
      <w:r>
        <w:t xml:space="preserve"> </w:t>
      </w:r>
      <w:r>
        <w:t xml:space="preserve">engagement outlined in this</w:t>
      </w:r>
      <w:r>
        <w:t xml:space="preserve"> </w:t>
      </w:r>
      <w:r>
        <w:t xml:space="preserve">Quotation Estimate</w:t>
      </w:r>
      <w:r>
        <w:t xml:space="preserve"> </w:t>
      </w:r>
      <w:r>
        <w:t xml:space="preserve">covers all statutory and voluntary audit procedures necessary to ensure that the financial statements of the client entity are presented fairly and in all material respects, in conformity with the applicable financial reporting framework. All services will be rendered by a team of certified public accountants (CPAs) and senior audit professionals based in our</w:t>
      </w:r>
      <w:r>
        <w:t xml:space="preserve"> </w:t>
      </w:r>
      <w:r>
        <w:t xml:space="preserve">Philippines Manila</w:t>
      </w:r>
      <w:r>
        <w:t xml:space="preserve"> </w:t>
      </w:r>
      <w:r>
        <w:t xml:space="preserve">office, ensuring local regulatory expertise and familiarity with the Bureau of Internal Revenue (BIR), Securities and Exchange Commission (SEC), and other relevant government agencies operating in the Metro Manila region.</w:t>
      </w:r>
    </w:p>
    <w:bookmarkEnd w:id="21"/>
    <w:bookmarkStart w:id="22"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engagement, as detailed in this</w:t>
      </w:r>
      <w:r>
        <w:t xml:space="preserve"> </w:t>
      </w:r>
      <w:r>
        <w:t xml:space="preserve">Quotation Estimate</w:t>
      </w:r>
      <w:r>
        <w:t xml:space="preserve">, encompasses the following professional services to be performed in</w:t>
      </w:r>
      <w:r>
        <w:t xml:space="preserve"> </w:t>
      </w:r>
      <w:r>
        <w:t xml:space="preserve">Philippines Manila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Estimated Hours</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Planning &amp; Risk Assessment</w:t>
            </w:r>
          </w:p>
        </w:tc>
        <w:tc>
          <w:tcPr/>
          <w:p>
            <w:pPr>
              <w:pStyle w:val="Compact"/>
              <w:jc w:val="left"/>
            </w:pPr>
            <w:r>
              <w:t xml:space="preserve">Initial meetings, understanding of internal controls, materiality determination, and audit strategy formulation for the Philippines Manila entity.</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140,000.00</w:t>
            </w:r>
          </w:p>
        </w:tc>
      </w:tr>
      <w:tr>
        <w:tc>
          <w:tcPr/>
          <w:p>
            <w:pPr>
              <w:pStyle w:val="Compact"/>
              <w:jc w:val="left"/>
            </w:pPr>
            <w:r>
              <w:t xml:space="preserve">Substantive Testing &amp; Fieldwork</w:t>
            </w:r>
          </w:p>
        </w:tc>
        <w:tc>
          <w:tcPr/>
          <w:p>
            <w:pPr>
              <w:pStyle w:val="Compact"/>
              <w:jc w:val="left"/>
            </w:pPr>
            <w:r>
              <w:t xml:space="preserve">Detailed testing of transactions, balances, and disclosures including cash, receivables, inventory, payables, fixed assets, and equity accounts.</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420,000.00</w:t>
            </w:r>
          </w:p>
        </w:tc>
      </w:tr>
      <w:tr>
        <w:tc>
          <w:tcPr/>
          <w:p>
            <w:pPr>
              <w:pStyle w:val="Compact"/>
              <w:jc w:val="left"/>
            </w:pPr>
            <w:r>
              <w:t xml:space="preserve">Compliance &amp; Tax Review</w:t>
            </w:r>
          </w:p>
        </w:tc>
        <w:tc>
          <w:tcPr/>
          <w:p>
            <w:pPr>
              <w:pStyle w:val="Compact"/>
              <w:jc w:val="left"/>
            </w:pPr>
            <w:r>
              <w:t xml:space="preserve">Verification of BIR tax filings, withholding tax compliance, and adherence to Philippine tax laws applicable in the Philippines Manila jurisdiction.</w:t>
            </w:r>
          </w:p>
        </w:tc>
        <w:tc>
          <w:tcPr/>
          <w:p>
            <w:pPr>
              <w:pStyle w:val="Compact"/>
              <w:jc w:val="left"/>
            </w:pPr>
            <w:r>
              <w:t xml:space="preserve">30</w:t>
            </w:r>
          </w:p>
        </w:tc>
        <w:tc>
          <w:tcPr/>
          <w:p>
            <w:pPr>
              <w:pStyle w:val="Compact"/>
              <w:jc w:val="left"/>
            </w:pPr>
            <w:r>
              <w:t xml:space="preserve">4,000</w:t>
            </w:r>
          </w:p>
        </w:tc>
        <w:tc>
          <w:tcPr/>
          <w:p>
            <w:pPr>
              <w:pStyle w:val="Compact"/>
              <w:jc w:val="left"/>
            </w:pPr>
            <w:r>
              <w:t xml:space="preserve">120,000.00</w:t>
            </w:r>
          </w:p>
        </w:tc>
      </w:tr>
      <w:tr>
        <w:tc>
          <w:tcPr/>
          <w:p>
            <w:pPr>
              <w:pStyle w:val="Compact"/>
              <w:jc w:val="left"/>
            </w:pPr>
            <w:r>
              <w:t xml:space="preserve">Internal Control Evaluation</w:t>
            </w:r>
          </w:p>
        </w:tc>
        <w:tc>
          <w:tcPr/>
          <w:p>
            <w:pPr>
              <w:pStyle w:val="Compact"/>
              <w:jc w:val="left"/>
            </w:pPr>
            <w:r>
              <w:t xml:space="preserve">Assessment of the effectiveness of internal controls over financial reporting and issuance of management letter recommendations.</w:t>
            </w:r>
          </w:p>
        </w:tc>
        <w:tc>
          <w:tcPr/>
          <w:p>
            <w:pPr>
              <w:pStyle w:val="Compact"/>
              <w:jc w:val="left"/>
            </w:pPr>
            <w:r>
              <w:t xml:space="preserve">25</w:t>
            </w:r>
          </w:p>
        </w:tc>
        <w:tc>
          <w:tcPr/>
          <w:p>
            <w:pPr>
              <w:pStyle w:val="Compact"/>
              <w:jc w:val="left"/>
            </w:pPr>
            <w:r>
              <w:t xml:space="preserve">4,000</w:t>
            </w:r>
          </w:p>
        </w:tc>
        <w:tc>
          <w:tcPr/>
          <w:p>
            <w:pPr>
              <w:pStyle w:val="Compact"/>
              <w:jc w:val="left"/>
            </w:pPr>
            <w:r>
              <w:t xml:space="preserve">100,000.00</w:t>
            </w:r>
          </w:p>
        </w:tc>
      </w:tr>
      <w:tr>
        <w:tc>
          <w:tcPr/>
          <w:p>
            <w:pPr>
              <w:pStyle w:val="Compact"/>
              <w:jc w:val="left"/>
            </w:pPr>
            <w:r>
              <w:t xml:space="preserve">Report Preparation &amp; Issuance</w:t>
            </w:r>
          </w:p>
        </w:tc>
        <w:tc>
          <w:tcPr/>
          <w:p>
            <w:pPr>
              <w:pStyle w:val="Compact"/>
              <w:jc w:val="left"/>
            </w:pPr>
            <w:r>
              <w:t xml:space="preserve">Drafting, review, and final issuance of the Auditor's Report, management representation letter, and accompanying financial statements.</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90,000.00</w:t>
            </w:r>
          </w:p>
        </w:tc>
      </w:tr>
      <w:tr>
        <w:tc>
          <w:tcPr/>
          <w:p>
            <w:pPr>
              <w:pStyle w:val="Compact"/>
              <w:jc w:val="left"/>
            </w:pPr>
            <w:r>
              <w:t xml:space="preserve">Post-Audit Consultation</w:t>
            </w:r>
          </w:p>
        </w:tc>
        <w:tc>
          <w:tcPr/>
          <w:p>
            <w:pPr>
              <w:pStyle w:val="Compact"/>
              <w:jc w:val="left"/>
            </w:pPr>
            <w:r>
              <w:t xml:space="preserve">Follow-up meetings with management in Philippines Manila to discuss findings, answer queries, and provide advisory support.</w:t>
            </w:r>
          </w:p>
        </w:tc>
        <w:tc>
          <w:tcPr/>
          <w:p>
            <w:pPr>
              <w:pStyle w:val="Compact"/>
              <w:jc w:val="left"/>
            </w:pPr>
            <w:r>
              <w:t xml:space="preserve">15</w:t>
            </w:r>
          </w:p>
        </w:tc>
        <w:tc>
          <w:tcPr/>
          <w:p>
            <w:pPr>
              <w:pStyle w:val="Compact"/>
              <w:jc w:val="left"/>
            </w:pPr>
            <w:r>
              <w:t xml:space="preserve">3,500</w:t>
            </w:r>
          </w:p>
        </w:tc>
        <w:tc>
          <w:tcPr/>
          <w:p>
            <w:pPr>
              <w:pStyle w:val="Compact"/>
              <w:jc w:val="left"/>
            </w:pPr>
            <w:r>
              <w:t xml:space="preserve">52,500.00</w:t>
            </w:r>
          </w:p>
        </w:tc>
      </w:tr>
      <w:tr>
        <w:tc>
          <w:tcPr>
            <w:gridSpan w:val="4"/>
          </w:tcPr>
          <w:p>
            <w:pPr>
              <w:pStyle w:val="Compact"/>
              <w:jc w:val="left"/>
            </w:pPr>
            <w:r>
              <w:t xml:space="preserve">TOTAL ESTIMATED FEE (VAT Inclusive at 12%)</w:t>
            </w:r>
          </w:p>
        </w:tc>
        <w:tc>
          <w:tcPr/>
          <w:p>
            <w:pPr>
              <w:pStyle w:val="Compact"/>
              <w:jc w:val="left"/>
            </w:pPr>
            <w:r>
              <w:t xml:space="preserve">1,052,500.00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issuance. Beyond this period, the</w:t>
      </w:r>
      <w:r>
        <w:t xml:space="preserve"> </w:t>
      </w:r>
      <w:r>
        <w:t xml:space="preserve">Auditor</w:t>
      </w:r>
      <w:r>
        <w:t xml:space="preserve"> </w:t>
      </w:r>
      <w:r>
        <w:t xml:space="preserve">fees may be subject to revision based on prevailing market conditions in</w:t>
      </w:r>
      <w:r>
        <w:t xml:space="preserve"> </w:t>
      </w:r>
      <w:r>
        <w:t xml:space="preserve">Philippines Manila</w:t>
      </w:r>
      <w:r>
        <w:t xml:space="preserve">.</w:t>
      </w:r>
    </w:p>
    <w:p>
      <w:pPr>
        <w:numPr>
          <w:ilvl w:val="0"/>
          <w:numId w:val="1001"/>
        </w:numPr>
        <w:pStyle w:val="Compact"/>
      </w:pPr>
      <w:r>
        <w:rPr>
          <w:bCs/>
          <w:b/>
        </w:rPr>
        <w:t xml:space="preserve">Payment Terms:</w:t>
      </w:r>
      <w:r>
        <w:t xml:space="preserve"> </w:t>
      </w:r>
      <w:r>
        <w:t xml:space="preserve">Payment shall be made in three (3) installments: 40% upon signing of the engagement letter, 40% upon completion of fieldwork, and 20% upon issuance of the final</w:t>
      </w:r>
      <w:r>
        <w:t xml:space="preserve"> </w:t>
      </w:r>
      <w:r>
        <w:t xml:space="preserve">Auditor</w:t>
      </w:r>
      <w:r>
        <w:t xml:space="preserve">'s Report. All payments are due within fifteen (15) days from the date of each invoice.</w:t>
      </w:r>
    </w:p>
    <w:p>
      <w:pPr>
        <w:numPr>
          <w:ilvl w:val="0"/>
          <w:numId w:val="1001"/>
        </w:numPr>
        <w:pStyle w:val="Compact"/>
      </w:pPr>
      <w:r>
        <w:rPr>
          <w:bCs/>
          <w:b/>
        </w:rPr>
        <w:t xml:space="preserve">Out-of-Pocket Expenses:</w:t>
      </w:r>
      <w:r>
        <w:t xml:space="preserve"> </w:t>
      </w:r>
      <w:r>
        <w:t xml:space="preserve">Travel, transportation, and accommodation expenses incurred by the</w:t>
      </w:r>
      <w:r>
        <w:t xml:space="preserve"> </w:t>
      </w:r>
      <w:r>
        <w:t xml:space="preserve">Auditor</w:t>
      </w:r>
      <w:r>
        <w:t xml:space="preserve"> </w:t>
      </w:r>
      <w:r>
        <w:t xml:space="preserve">team while conducting on-site procedures in</w:t>
      </w:r>
      <w:r>
        <w:t xml:space="preserve"> </w:t>
      </w:r>
      <w:r>
        <w:t xml:space="preserve">Philippines Manila</w:t>
      </w:r>
      <w:r>
        <w:t xml:space="preserve"> </w:t>
      </w:r>
      <w:r>
        <w:t xml:space="preserve">or its surrounding provinces shall be billed separately at actual cost, subject to prior written approval by the client.</w:t>
      </w:r>
    </w:p>
    <w:p>
      <w:pPr>
        <w:numPr>
          <w:ilvl w:val="0"/>
          <w:numId w:val="1001"/>
        </w:numPr>
        <w:pStyle w:val="Compact"/>
      </w:pPr>
      <w:r>
        <w:rPr>
          <w:bCs/>
          <w:b/>
        </w:rPr>
        <w:t xml:space="preserve">Confidentiality:</w:t>
      </w:r>
      <w:r>
        <w:t xml:space="preserve"> </w:t>
      </w:r>
      <w:r>
        <w:t xml:space="preserve">The</w:t>
      </w:r>
      <w:r>
        <w:t xml:space="preserve"> </w:t>
      </w:r>
      <w:r>
        <w:t xml:space="preserve">Auditor</w:t>
      </w:r>
      <w:r>
        <w:t xml:space="preserve"> </w:t>
      </w:r>
      <w:r>
        <w:t xml:space="preserve">and all team members shall maintain strict confidentiality of all financial and operational information obtained during the engagement, in compliance with the Data Privacy Act of 2012 (Republic Act No. 10173) of the Philippines.</w:t>
      </w:r>
    </w:p>
    <w:p>
      <w:pPr>
        <w:numPr>
          <w:ilvl w:val="0"/>
          <w:numId w:val="1001"/>
        </w:numPr>
        <w:pStyle w:val="Compact"/>
      </w:pPr>
      <w:r>
        <w:rPr>
          <w:bCs/>
          <w:b/>
        </w:rPr>
        <w:t xml:space="preserve">Scope Limitation:</w:t>
      </w:r>
      <w:r>
        <w:t xml:space="preserve"> </w:t>
      </w:r>
      <w:r>
        <w:t xml:space="preserve">This</w:t>
      </w:r>
      <w:r>
        <w:t xml:space="preserve"> </w:t>
      </w:r>
      <w:r>
        <w:t xml:space="preserve">Quotation Estimate</w:t>
      </w:r>
      <w:r>
        <w:t xml:space="preserve"> </w:t>
      </w:r>
      <w:r>
        <w:t xml:space="preserve">covers the financial audit of the primary entity registered in</w:t>
      </w:r>
      <w:r>
        <w:t xml:space="preserve"> </w:t>
      </w:r>
      <w:r>
        <w:t xml:space="preserve">Philippines Manila</w:t>
      </w:r>
      <w:r>
        <w:t xml:space="preserve">. Any additional subsidiaries, branches, or entities located outside Metro Manila shall be subject to a separate supplementary quotation.</w:t>
      </w:r>
    </w:p>
    <w:p>
      <w:pPr>
        <w:numPr>
          <w:ilvl w:val="0"/>
          <w:numId w:val="1001"/>
        </w:numPr>
        <w:pStyle w:val="Compact"/>
      </w:pPr>
      <w:r>
        <w:rPr>
          <w:bCs/>
          <w:b/>
        </w:rPr>
        <w:t xml:space="preserve">Deliverables:</w:t>
      </w:r>
      <w:r>
        <w:t xml:space="preserve"> </w:t>
      </w:r>
      <w:r>
        <w:t xml:space="preserve">The</w:t>
      </w:r>
      <w:r>
        <w:t xml:space="preserve"> </w:t>
      </w:r>
      <w:r>
        <w:t xml:space="preserve">Auditor</w:t>
      </w:r>
      <w:r>
        <w:t xml:space="preserve"> </w:t>
      </w:r>
      <w:r>
        <w:t xml:space="preserve">shall deliver the final audit report, management letter, and all supporting workpapers in both hard copy and electronic format within thirty (30) days from the completion of fieldwork.</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w:t>
      </w:r>
      <w:r>
        <w:t xml:space="preserve"> </w:t>
      </w:r>
      <w:r>
        <w:t xml:space="preserve">Auditor</w:t>
      </w:r>
      <w:r>
        <w:t xml:space="preserve"> </w:t>
      </w:r>
      <w:r>
        <w:t xml:space="preserve">engagement shall be resolved through amicable negotiation. In the event of failure to reach a settlement, the matter shall be referred to the courts of competent jurisdiction in</w:t>
      </w:r>
      <w:r>
        <w:t xml:space="preserve"> </w:t>
      </w:r>
      <w:r>
        <w:t xml:space="preserve">Philippines Manila</w:t>
      </w:r>
      <w:r>
        <w:t xml:space="preserve">.</w:t>
      </w:r>
    </w:p>
    <w:p>
      <w:pPr>
        <w:numPr>
          <w:ilvl w:val="0"/>
          <w:numId w:val="1001"/>
        </w:numPr>
        <w:pStyle w:val="Compact"/>
      </w:pPr>
      <w:r>
        <w:rPr>
          <w:bCs/>
          <w:b/>
        </w:rPr>
        <w:t xml:space="preserve">Regulatory Compliance:</w:t>
      </w:r>
      <w:r>
        <w:t xml:space="preserve"> </w:t>
      </w:r>
      <w:r>
        <w:t xml:space="preserve">All audit procedures shall be conducted in strict accordance with Philippine Standards on Auditing (PSA), the Code of Ethics for Professional Accountants, and all applicable laws and regulations of the Republic of the Philippines.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professional fees outlined herein for the engagement of the</w:t>
      </w:r>
      <w:r>
        <w:t xml:space="preserve"> </w:t>
      </w:r>
      <w:r>
        <w:t xml:space="preserve">Auditor</w:t>
      </w:r>
      <w:r>
        <w:t xml:space="preserve"> </w:t>
      </w:r>
      <w:r>
        <w:t xml:space="preserve">in</w:t>
      </w:r>
      <w:r>
        <w:t xml:space="preserve"> </w:t>
      </w:r>
      <w:r>
        <w:t xml:space="preserve">Philippines Manila</w:t>
      </w:r>
      <w:r>
        <w:t xml:space="preserve">. This document, once signed by both parties, shall serve as the basis for the formal Engagement Letter to be executed within five (5) business days.</w:t>
      </w:r>
    </w:p>
    <w:p>
      <w:pPr>
        <w:pStyle w:val="BodyText"/>
      </w:pPr>
      <w:r>
        <w:rPr>
          <w:bCs/>
          <w:b/>
        </w:rPr>
        <w:t xml:space="preserve">For Meridian Audit &amp; Advisory Partners</w:t>
      </w:r>
      <w:r>
        <w:br/>
      </w:r>
      <w:r>
        <w:t xml:space="preserve">[Authorized Signatory Name]</w:t>
      </w:r>
      <w:r>
        <w:br/>
      </w:r>
      <w:r>
        <w:t xml:space="preserve">CPA License No. [XXXXX]</w:t>
      </w:r>
      <w:r>
        <w:br/>
      </w:r>
      <w:r>
        <w:t xml:space="preserve">Partner, Philippines Manila Office</w:t>
      </w:r>
      <w:r>
        <w:br/>
      </w:r>
      <w:r>
        <w:t xml:space="preserve">Date: _______________</w:t>
      </w:r>
    </w:p>
    <w:p>
      <w:pPr>
        <w:pStyle w:val="BodyText"/>
      </w:pPr>
      <w:r>
        <w:rPr>
          <w:bCs/>
          <w:b/>
        </w:rPr>
        <w:t xml:space="preserve">For the Client</w:t>
      </w:r>
      <w:r>
        <w:br/>
      </w:r>
      <w:r>
        <w:t xml:space="preserve">[Client Representative Name]</w:t>
      </w:r>
      <w:r>
        <w:br/>
      </w:r>
      <w:r>
        <w:t xml:space="preserve">[Designation / Title]</w:t>
      </w:r>
      <w:r>
        <w:br/>
      </w:r>
      <w:r>
        <w:t xml:space="preserve">[Company Name]</w:t>
      </w:r>
      <w:r>
        <w:br/>
      </w:r>
      <w:r>
        <w:t xml:space="preserve">Date: _______________</w:t>
      </w:r>
    </w:p>
    <w:p>
      <w:pPr>
        <w:pStyle w:val="BodyText"/>
      </w:pPr>
      <w:r>
        <w:t xml:space="preserve">Meridian Audit &amp; Advisory Partners | 12th Floor, Ayala Center Tower 3, Makati City, Philippines Manila | BIR TIN: 000-123-456-789 | SEC Registration No. CS2018-04567</w:t>
      </w:r>
    </w:p>
    <w:p>
      <w:pPr>
        <w:pStyle w:val="BodyText"/>
      </w:pPr>
      <w:r>
        <w:t xml:space="preserve">This Quotation Estimate is the property of Meridian Audit &amp; Advisory Partners. Unauthorized reproduction or distribution is strictly prohibited.</w:t>
      </w:r>
    </w:p>
    <w:p>
      <w:pPr>
        <w:pStyle w:val="BodyText"/>
      </w:pPr>
      <w:r>
        <w:t xml:space="preserve">Page 1 of 1 | Document Ref: QTE-MNL-2025-04782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Philippines Manila</dc:title>
  <dc:creator/>
  <dc:language>en</dc:language>
  <cp:keywords/>
  <dcterms:created xsi:type="dcterms:W3CDTF">2026-10-10T02:16:36Z</dcterms:created>
  <dcterms:modified xsi:type="dcterms:W3CDTF">2026-10-10T02:16:36Z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