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quotation-estimate"/>
    <w:p>
      <w:pPr>
        <w:pStyle w:val="Heading1"/>
      </w:pPr>
      <w:r>
        <w:t xml:space="preserve">Quotation Estimate</w:t>
      </w:r>
    </w:p>
    <w:p>
      <w:pPr>
        <w:pStyle w:val="FirstParagraph"/>
      </w:pPr>
      <w:r>
        <w:t xml:space="preserve">Professional Auditor Services — Qatar Doha</w:t>
      </w:r>
    </w:p>
    <w:p>
      <w:pPr>
        <w:pStyle w:val="BodyText"/>
      </w:pPr>
      <w:r>
        <w:t xml:space="preserve">Ref: QE-AUD-QD-2025-0472</w:t>
      </w:r>
    </w:p>
    <w:bookmarkEnd w:id="20"/>
    <w:p>
      <w:pPr>
        <w:pStyle w:val="BodyText"/>
      </w:pPr>
      <w:r>
        <w:rPr>
          <w:bCs/>
          <w:b/>
        </w:rPr>
        <w:t xml:space="preserve">Prepared By:</w:t>
      </w:r>
      <w:r>
        <w:br/>
      </w:r>
      <w:r>
        <w:t xml:space="preserve">Al Rayyan Audit &amp; Advisory LLC</w:t>
      </w:r>
      <w:r>
        <w:br/>
      </w:r>
      <w:r>
        <w:t xml:space="preserve">Office 12, Level 5, Doha Financial Centre</w:t>
      </w:r>
      <w:r>
        <w:br/>
      </w:r>
      <w:r>
        <w:t xml:space="preserve">P.O. Box 4521, Doha, Qatar</w:t>
      </w:r>
      <w:r>
        <w:br/>
      </w:r>
      <w:r>
        <w:t xml:space="preserve">Tel: +974-4455-6677</w:t>
      </w:r>
      <w:r>
        <w:br/>
      </w:r>
      <w:r>
        <w:t xml:space="preserve">Email: quotations@alrayyan-audit.qa</w:t>
      </w:r>
    </w:p>
    <w:p>
      <w:pPr>
        <w:pStyle w:val="BodyText"/>
      </w:pPr>
      <w:r>
        <w:rPr>
          <w:bCs/>
          <w:b/>
        </w:rPr>
        <w:t xml:space="preserve">Quotation Estimate Date:</w:t>
      </w:r>
      <w:r>
        <w:t xml:space="preserve"> </w:t>
      </w:r>
      <w:r>
        <w:t xml:space="preserve">15 June 2025</w:t>
      </w:r>
      <w:r>
        <w:br/>
      </w:r>
      <w:r>
        <w:rPr>
          <w:bCs/>
          <w:b/>
        </w:rPr>
        <w:t xml:space="preserve">Valid Until:</w:t>
      </w:r>
      <w:r>
        <w:t xml:space="preserve"> </w:t>
      </w:r>
      <w:r>
        <w:t xml:space="preserve">15 July 2025</w:t>
      </w:r>
      <w:r>
        <w:br/>
      </w:r>
      <w:r>
        <w:rPr>
          <w:bCs/>
          <w:b/>
        </w:rPr>
        <w:t xml:space="preserve">Prepared For:</w:t>
      </w:r>
      <w:r>
        <w:br/>
      </w:r>
      <w:r>
        <w:t xml:space="preserve">Al Noor Trading &amp; Contracting WLL</w:t>
      </w:r>
      <w:r>
        <w:br/>
      </w:r>
      <w:r>
        <w:t xml:space="preserve">Industrial Area, Doha, Qatar</w:t>
      </w:r>
      <w:r>
        <w:br/>
      </w:r>
      <w:r>
        <w:t xml:space="preserve">CR No: 1023456</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Al Rayyan Audit &amp; Advisory LLC to provide a comprehensive and transparent breakdown of professional fees for the engagement of a certified</w:t>
      </w:r>
      <w:r>
        <w:t xml:space="preserve"> </w:t>
      </w:r>
      <w:r>
        <w:t xml:space="preserve">Auditor</w:t>
      </w:r>
      <w:r>
        <w:t xml:space="preserve"> </w:t>
      </w:r>
      <w:r>
        <w:t xml:space="preserve">to conduct a full-scope financial audit of Al Noor Trading &amp; Contracting WLL, a registered entity operating in</w:t>
      </w:r>
      <w:r>
        <w:t xml:space="preserve"> </w:t>
      </w:r>
      <w:r>
        <w:t xml:space="preserve">Qatar Doha</w:t>
      </w:r>
      <w:r>
        <w:t xml:space="preserve">. This document serves as a formal</w:t>
      </w:r>
      <w:r>
        <w:t xml:space="preserve"> </w:t>
      </w:r>
      <w:r>
        <w:t xml:space="preserve">Quotation Estimate</w:t>
      </w:r>
      <w:r>
        <w:t xml:space="preserve"> </w:t>
      </w:r>
      <w:r>
        <w:t xml:space="preserve">outlining the scope of work, deliverables, timelines, and associated costs for the</w:t>
      </w:r>
      <w:r>
        <w:t xml:space="preserve"> </w:t>
      </w:r>
      <w:r>
        <w:t xml:space="preserve">Auditor</w:t>
      </w:r>
      <w:r>
        <w:t xml:space="preserve"> </w:t>
      </w:r>
      <w:r>
        <w:t xml:space="preserve">engagement. All pricing is quoted in Qatari Riyals (QAR) and reflects current market rates applicable to professional</w:t>
      </w:r>
      <w:r>
        <w:t xml:space="preserve"> </w:t>
      </w:r>
      <w:r>
        <w:t xml:space="preserve">Auditor</w:t>
      </w:r>
      <w:r>
        <w:t xml:space="preserve"> </w:t>
      </w:r>
      <w:r>
        <w:t xml:space="preserve">services in</w:t>
      </w:r>
      <w:r>
        <w:t xml:space="preserve"> </w:t>
      </w:r>
      <w:r>
        <w:t xml:space="preserve">Qatar Doha</w:t>
      </w:r>
      <w:r>
        <w:t xml:space="preserve">.</w:t>
      </w:r>
    </w:p>
    <w:bookmarkEnd w:id="21"/>
    <w:bookmarkStart w:id="22" w:name="scope-of-auditor-services"/>
    <w:p>
      <w:pPr>
        <w:pStyle w:val="Heading2"/>
      </w:pPr>
      <w:r>
        <w:t xml:space="preserve">2. Scope of Auditor Services</w:t>
      </w:r>
    </w:p>
    <w:p>
      <w:pPr>
        <w:pStyle w:val="FirstParagraph"/>
      </w:pPr>
      <w:r>
        <w:t xml:space="preserve">The</w:t>
      </w:r>
      <w:r>
        <w:t xml:space="preserve"> </w:t>
      </w:r>
      <w:r>
        <w:t xml:space="preserve">Auditor</w:t>
      </w:r>
      <w:r>
        <w:t xml:space="preserve"> </w:t>
      </w:r>
      <w:r>
        <w:t xml:space="preserve">engagement, as detailed in this</w:t>
      </w:r>
      <w:r>
        <w:t xml:space="preserve"> </w:t>
      </w:r>
      <w:r>
        <w:t xml:space="preserve">Quotation Estimate</w:t>
      </w:r>
      <w:r>
        <w:t xml:space="preserve">, encompasses the following professional services to be delivered in</w:t>
      </w:r>
      <w:r>
        <w:t xml:space="preserve"> </w:t>
      </w:r>
      <w:r>
        <w:t xml:space="preserve">Qatar Doha</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Personnel</w:t>
            </w:r>
          </w:p>
        </w:tc>
        <w:tc>
          <w:tcPr/>
          <w:p>
            <w:pPr>
              <w:pStyle w:val="Compact"/>
              <w:jc w:val="left"/>
            </w:pPr>
            <w:r>
              <w:t xml:space="preserve">Fee (QAR)</w:t>
            </w:r>
          </w:p>
        </w:tc>
      </w:tr>
      <w:tr>
        <w:tc>
          <w:tcPr/>
          <w:p>
            <w:pPr>
              <w:pStyle w:val="Compact"/>
              <w:jc w:val="left"/>
            </w:pPr>
            <w:r>
              <w:t xml:space="preserve">1</w:t>
            </w:r>
          </w:p>
        </w:tc>
        <w:tc>
          <w:tcPr/>
          <w:p>
            <w:pPr>
              <w:pStyle w:val="Compact"/>
              <w:jc w:val="left"/>
            </w:pPr>
            <w:r>
              <w:t xml:space="preserve">Planning &amp; Risk Assessment — The</w:t>
            </w:r>
            <w:r>
              <w:t xml:space="preserve"> </w:t>
            </w:r>
            <w:r>
              <w:t xml:space="preserve">Auditor</w:t>
            </w:r>
            <w:r>
              <w:t xml:space="preserve"> </w:t>
            </w:r>
            <w:r>
              <w:t xml:space="preserve">will conduct an initial assessment of the client's financial structure, internal controls, and risk profile specific to operations in</w:t>
            </w:r>
            <w:r>
              <w:t xml:space="preserve"> </w:t>
            </w:r>
            <w:r>
              <w:t xml:space="preserve">Qatar Doha</w:t>
            </w:r>
            <w:r>
              <w:t xml:space="preserve">.</w:t>
            </w:r>
          </w:p>
        </w:tc>
        <w:tc>
          <w:tcPr/>
          <w:p>
            <w:pPr>
              <w:pStyle w:val="Compact"/>
              <w:jc w:val="left"/>
            </w:pPr>
            <w:r>
              <w:t xml:space="preserve">5 working days</w:t>
            </w:r>
          </w:p>
        </w:tc>
        <w:tc>
          <w:tcPr/>
          <w:p>
            <w:pPr>
              <w:pStyle w:val="Compact"/>
              <w:jc w:val="left"/>
            </w:pPr>
            <w:r>
              <w:t xml:space="preserve">Senior Auditor</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Financial Statement Audit — Full examination of the balance sheet, income statement, cash flow statement, and notes to accounts in compliance with IFRS and Qatar Central Bank regulations.</w:t>
            </w:r>
          </w:p>
        </w:tc>
        <w:tc>
          <w:tcPr/>
          <w:p>
            <w:pPr>
              <w:pStyle w:val="Compact"/>
              <w:jc w:val="left"/>
            </w:pPr>
            <w:r>
              <w:t xml:space="preserve">20 working days</w:t>
            </w:r>
          </w:p>
        </w:tc>
        <w:tc>
          <w:tcPr/>
          <w:p>
            <w:pPr>
              <w:pStyle w:val="Compact"/>
              <w:jc w:val="left"/>
            </w:pPr>
            <w:r>
              <w:t xml:space="preserve">Auditor + 2 Associates</w:t>
            </w:r>
          </w:p>
        </w:tc>
        <w:tc>
          <w:tcPr/>
          <w:p>
            <w:pPr>
              <w:pStyle w:val="Compact"/>
              <w:jc w:val="left"/>
            </w:pPr>
            <w:r>
              <w:t xml:space="preserve">62,000</w:t>
            </w:r>
          </w:p>
        </w:tc>
      </w:tr>
      <w:tr>
        <w:tc>
          <w:tcPr/>
          <w:p>
            <w:pPr>
              <w:pStyle w:val="Compact"/>
              <w:jc w:val="left"/>
            </w:pPr>
            <w:r>
              <w:t xml:space="preserve">3</w:t>
            </w:r>
          </w:p>
        </w:tc>
        <w:tc>
          <w:tcPr/>
          <w:p>
            <w:pPr>
              <w:pStyle w:val="Compact"/>
              <w:jc w:val="left"/>
            </w:pPr>
            <w:r>
              <w:t xml:space="preserve">Internal Controls Review — The</w:t>
            </w:r>
            <w:r>
              <w:t xml:space="preserve"> </w:t>
            </w:r>
            <w:r>
              <w:t xml:space="preserve">Auditor</w:t>
            </w:r>
            <w:r>
              <w:t xml:space="preserve"> </w:t>
            </w:r>
            <w:r>
              <w:t xml:space="preserve">will evaluate the adequacy and effectiveness of internal control systems, providing recommendations tailored to the</w:t>
            </w:r>
            <w:r>
              <w:t xml:space="preserve"> </w:t>
            </w:r>
            <w:r>
              <w:t xml:space="preserve">Qatar Doha</w:t>
            </w:r>
            <w:r>
              <w:t xml:space="preserve"> </w:t>
            </w:r>
            <w:r>
              <w:t xml:space="preserve">regulatory environment.</w:t>
            </w:r>
          </w:p>
        </w:tc>
        <w:tc>
          <w:tcPr/>
          <w:p>
            <w:pPr>
              <w:pStyle w:val="Compact"/>
              <w:jc w:val="left"/>
            </w:pPr>
            <w:r>
              <w:t xml:space="preserve">10 working days</w:t>
            </w:r>
          </w:p>
        </w:tc>
        <w:tc>
          <w:tcPr/>
          <w:p>
            <w:pPr>
              <w:pStyle w:val="Compact"/>
              <w:jc w:val="left"/>
            </w:pPr>
            <w:r>
              <w:t xml:space="preserve">Senior Auditor</w:t>
            </w:r>
          </w:p>
        </w:tc>
        <w:tc>
          <w:tcPr/>
          <w:p>
            <w:pPr>
              <w:pStyle w:val="Compact"/>
              <w:jc w:val="left"/>
            </w:pPr>
            <w:r>
              <w:t xml:space="preserve">24,000</w:t>
            </w:r>
          </w:p>
        </w:tc>
      </w:tr>
      <w:tr>
        <w:tc>
          <w:tcPr/>
          <w:p>
            <w:pPr>
              <w:pStyle w:val="Compact"/>
              <w:jc w:val="left"/>
            </w:pPr>
            <w:r>
              <w:t xml:space="preserve">4</w:t>
            </w:r>
          </w:p>
        </w:tc>
        <w:tc>
          <w:tcPr/>
          <w:p>
            <w:pPr>
              <w:pStyle w:val="Compact"/>
              <w:jc w:val="left"/>
            </w:pPr>
            <w:r>
              <w:t xml:space="preserve">Compliance &amp; Regulatory Audit — Verification of adherence to Qatar Commercial Companies Law, tax obligations, and sector-specific regulations applicable in</w:t>
            </w:r>
            <w:r>
              <w:t xml:space="preserve"> </w:t>
            </w:r>
            <w:r>
              <w:t xml:space="preserve">Qatar Doha</w:t>
            </w:r>
            <w:r>
              <w:t xml:space="preserve">.</w:t>
            </w:r>
          </w:p>
        </w:tc>
        <w:tc>
          <w:tcPr/>
          <w:p>
            <w:pPr>
              <w:pStyle w:val="Compact"/>
              <w:jc w:val="left"/>
            </w:pPr>
            <w:r>
              <w:t xml:space="preserve">8 working days</w:t>
            </w:r>
          </w:p>
        </w:tc>
        <w:tc>
          <w:tcPr/>
          <w:p>
            <w:pPr>
              <w:pStyle w:val="Compact"/>
              <w:jc w:val="left"/>
            </w:pPr>
            <w:r>
              <w:t xml:space="preserve">Compliance Auditor</w:t>
            </w:r>
          </w:p>
        </w:tc>
        <w:tc>
          <w:tcPr/>
          <w:p>
            <w:pPr>
              <w:pStyle w:val="Compact"/>
              <w:jc w:val="left"/>
            </w:pPr>
            <w:r>
              <w:t xml:space="preserve">19,500</w:t>
            </w:r>
          </w:p>
        </w:tc>
      </w:tr>
      <w:tr>
        <w:tc>
          <w:tcPr/>
          <w:p>
            <w:pPr>
              <w:pStyle w:val="Compact"/>
              <w:jc w:val="left"/>
            </w:pPr>
            <w:r>
              <w:t xml:space="preserve">5</w:t>
            </w:r>
          </w:p>
        </w:tc>
        <w:tc>
          <w:tcPr/>
          <w:p>
            <w:pPr>
              <w:pStyle w:val="Compact"/>
              <w:jc w:val="left"/>
            </w:pPr>
            <w:r>
              <w:t xml:space="preserve">Management Letter &amp; Final Report — The</w:t>
            </w:r>
            <w:r>
              <w:t xml:space="preserve"> </w:t>
            </w:r>
            <w:r>
              <w:t xml:space="preserve">Auditor</w:t>
            </w:r>
            <w:r>
              <w:t xml:space="preserve"> </w:t>
            </w:r>
            <w:r>
              <w:t xml:space="preserve">will prepare a comprehensive audit report, management letter, and opinion letter to be submitted to the client's board and relevant</w:t>
            </w:r>
            <w:r>
              <w:t xml:space="preserve"> </w:t>
            </w:r>
            <w:r>
              <w:t xml:space="preserve">Qatar Doha</w:t>
            </w:r>
            <w:r>
              <w:t xml:space="preserve"> </w:t>
            </w:r>
            <w:r>
              <w:t xml:space="preserve">authorities.</w:t>
            </w:r>
          </w:p>
        </w:tc>
        <w:tc>
          <w:tcPr/>
          <w:p>
            <w:pPr>
              <w:pStyle w:val="Compact"/>
              <w:jc w:val="left"/>
            </w:pPr>
            <w:r>
              <w:t xml:space="preserve">7 working days</w:t>
            </w:r>
          </w:p>
        </w:tc>
        <w:tc>
          <w:tcPr/>
          <w:p>
            <w:pPr>
              <w:pStyle w:val="Compact"/>
              <w:jc w:val="left"/>
            </w:pPr>
            <w:r>
              <w:t xml:space="preserve">Engagement Partner</w:t>
            </w:r>
          </w:p>
        </w:tc>
        <w:tc>
          <w:tcPr/>
          <w:p>
            <w:pPr>
              <w:pStyle w:val="Compact"/>
              <w:jc w:val="left"/>
            </w:pPr>
            <w:r>
              <w:t xml:space="preserve">16,000</w:t>
            </w:r>
          </w:p>
        </w:tc>
      </w:tr>
      <w:tr>
        <w:tc>
          <w:tcPr/>
          <w:p>
            <w:pPr>
              <w:pStyle w:val="Compact"/>
              <w:jc w:val="left"/>
            </w:pPr>
            <w:r>
              <w:t xml:space="preserve">6</w:t>
            </w:r>
          </w:p>
        </w:tc>
        <w:tc>
          <w:tcPr/>
          <w:p>
            <w:pPr>
              <w:pStyle w:val="Compact"/>
              <w:jc w:val="left"/>
            </w:pPr>
            <w:r>
              <w:t xml:space="preserve">Post-Audit Advisory &amp; Follow-Up — A 30-day post-engagement period during which the</w:t>
            </w:r>
            <w:r>
              <w:t xml:space="preserve"> </w:t>
            </w:r>
            <w:r>
              <w:t xml:space="preserve">Auditor</w:t>
            </w:r>
            <w:r>
              <w:t xml:space="preserve"> </w:t>
            </w:r>
            <w:r>
              <w:t xml:space="preserve">remains available to address queries and support implementation of recommendations in</w:t>
            </w:r>
            <w:r>
              <w:t xml:space="preserve"> </w:t>
            </w:r>
            <w:r>
              <w:t xml:space="preserve">Qatar Doha</w:t>
            </w:r>
            <w:r>
              <w:t xml:space="preserve">.</w:t>
            </w:r>
          </w:p>
        </w:tc>
        <w:tc>
          <w:tcPr/>
          <w:p>
            <w:pPr>
              <w:pStyle w:val="Compact"/>
              <w:jc w:val="left"/>
            </w:pPr>
            <w:r>
              <w:t xml:space="preserve">30 calendar days</w:t>
            </w:r>
          </w:p>
        </w:tc>
        <w:tc>
          <w:tcPr/>
          <w:p>
            <w:pPr>
              <w:pStyle w:val="Compact"/>
              <w:jc w:val="left"/>
            </w:pPr>
            <w:r>
              <w:t xml:space="preserve">Senior Auditor</w:t>
            </w:r>
          </w:p>
        </w:tc>
        <w:tc>
          <w:tcPr/>
          <w:p>
            <w:pPr>
              <w:pStyle w:val="Compact"/>
              <w:jc w:val="left"/>
            </w:pPr>
            <w:r>
              <w:t xml:space="preserve">8,000</w:t>
            </w:r>
          </w:p>
        </w:tc>
      </w:tr>
      <w:tr>
        <w:tc>
          <w:tcPr>
            <w:gridSpan w:val="4"/>
          </w:tcPr>
          <w:p>
            <w:pPr>
              <w:pStyle w:val="Compact"/>
              <w:jc w:val="right"/>
            </w:pPr>
            <w:r>
              <w:t xml:space="preserve">Total Professional Fees (QAR)</w:t>
            </w:r>
          </w:p>
        </w:tc>
        <w:tc>
          <w:tcPr/>
          <w:p>
            <w:pPr>
              <w:pStyle w:val="Compact"/>
              <w:jc w:val="left"/>
            </w:pPr>
            <w:r>
              <w:t xml:space="preserve">148,000</w:t>
            </w:r>
          </w:p>
        </w:tc>
      </w:tr>
      <w:tr>
        <w:tc>
          <w:tcPr>
            <w:gridSpan w:val="4"/>
          </w:tcPr>
          <w:p>
            <w:pPr>
              <w:pStyle w:val="Compact"/>
              <w:jc w:val="right"/>
            </w:pPr>
            <w:r>
              <w:t xml:space="preserve">VAT (5% — Qatar Standard Rate)</w:t>
            </w:r>
          </w:p>
        </w:tc>
        <w:tc>
          <w:tcPr/>
          <w:p>
            <w:pPr>
              <w:pStyle w:val="Compact"/>
              <w:jc w:val="left"/>
            </w:pPr>
            <w:r>
              <w:t xml:space="preserve">7,400</w:t>
            </w:r>
          </w:p>
        </w:tc>
      </w:tr>
      <w:tr>
        <w:tc>
          <w:tcPr>
            <w:gridSpan w:val="4"/>
          </w:tcPr>
          <w:p>
            <w:pPr>
              <w:pStyle w:val="Compact"/>
              <w:jc w:val="right"/>
            </w:pPr>
            <w:r>
              <w:t xml:space="preserve">Grand Total (QAR)</w:t>
            </w:r>
          </w:p>
        </w:tc>
        <w:tc>
          <w:tcPr/>
          <w:p>
            <w:pPr>
              <w:pStyle w:val="Compact"/>
              <w:jc w:val="left"/>
            </w:pPr>
            <w:r>
              <w:t xml:space="preserve">155,400</w:t>
            </w:r>
          </w:p>
        </w:tc>
      </w:tr>
    </w:tbl>
    <w:bookmarkEnd w:id="22"/>
    <w:bookmarkStart w:id="23" w:name="auditor-qualifications-credentials"/>
    <w:p>
      <w:pPr>
        <w:pStyle w:val="Heading2"/>
      </w:pPr>
      <w:r>
        <w:t xml:space="preserve">3. Auditor Qualifications &amp; Credentials</w:t>
      </w:r>
    </w:p>
    <w:p>
      <w:pPr>
        <w:pStyle w:val="FirstParagraph"/>
      </w:pPr>
      <w:r>
        <w:t xml:space="preserve">The</w:t>
      </w:r>
      <w:r>
        <w:t xml:space="preserve"> </w:t>
      </w:r>
      <w:r>
        <w:t xml:space="preserve">Auditor</w:t>
      </w:r>
      <w:r>
        <w:t xml:space="preserve"> </w:t>
      </w:r>
      <w:r>
        <w:t xml:space="preserve">assigned to this engagement holds a Chartered Accountant (CA) designation, is registered with the Qatar Institute of Chartered Accountants (QICA), and possesses over fifteen years of experience conducting audits for entities operating in</w:t>
      </w:r>
      <w:r>
        <w:t xml:space="preserve"> </w:t>
      </w:r>
      <w:r>
        <w:t xml:space="preserve">Qatar Doha</w:t>
      </w:r>
      <w:r>
        <w:t xml:space="preserve">. The</w:t>
      </w:r>
      <w:r>
        <w:t xml:space="preserve"> </w:t>
      </w:r>
      <w:r>
        <w:t xml:space="preserve">Auditor</w:t>
      </w:r>
      <w:r>
        <w:t xml:space="preserve"> </w:t>
      </w:r>
      <w:r>
        <w:t xml:space="preserve">team is fully versed in International Financial Reporting Standards (IFRS), International Standards on Auditing (ISA), and the specific regulatory requirements imposed by the Qatar Financial Centre Authority (QFCA) and the Ministry of Commerce and Industry in</w:t>
      </w:r>
      <w:r>
        <w:t xml:space="preserve"> </w:t>
      </w:r>
      <w:r>
        <w:t xml:space="preserve">Qatar Doha</w:t>
      </w:r>
      <w:r>
        <w:t xml:space="preserve">.</w:t>
      </w:r>
    </w:p>
    <w:bookmarkEnd w:id="23"/>
    <w:bookmarkStart w:id="24" w:name="X06f751c0fef37426aad28df54ec1acd620508e5"/>
    <w:p>
      <w:pPr>
        <w:pStyle w:val="Heading2"/>
      </w:pPr>
      <w:r>
        <w:t xml:space="preserve">4. 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the</w:t>
      </w:r>
      <w:r>
        <w:t xml:space="preserve"> </w:t>
      </w:r>
      <w:r>
        <w:t xml:space="preserve">Auditor</w:t>
      </w:r>
      <w:r>
        <w:t xml:space="preserve"> </w:t>
      </w:r>
      <w:r>
        <w:t xml:space="preserve">reserves the right to revise fees to reflect any changes in market conditions in</w:t>
      </w:r>
      <w:r>
        <w:t xml:space="preserve"> </w:t>
      </w:r>
      <w:r>
        <w:t xml:space="preserve">Qatar Doha</w:t>
      </w:r>
      <w:r>
        <w:t xml:space="preserve">.</w:t>
      </w:r>
    </w:p>
    <w:p>
      <w:pPr>
        <w:numPr>
          <w:ilvl w:val="0"/>
          <w:numId w:val="1001"/>
        </w:numPr>
        <w:pStyle w:val="Compact"/>
      </w:pPr>
      <w:r>
        <w:t xml:space="preserve">Payment terms: 40% advance upon acceptance of this</w:t>
      </w:r>
      <w:r>
        <w:t xml:space="preserve"> </w:t>
      </w:r>
      <w:r>
        <w:t xml:space="preserve">Quotation Estimate</w:t>
      </w:r>
      <w:r>
        <w:t xml:space="preserve">, 40% upon completion of fieldwork, and 20% upon delivery of the final</w:t>
      </w:r>
      <w:r>
        <w:t xml:space="preserve"> </w:t>
      </w:r>
      <w:r>
        <w:t xml:space="preserve">Auditor</w:t>
      </w:r>
      <w:r>
        <w:t xml:space="preserve"> </w:t>
      </w:r>
      <w:r>
        <w:t xml:space="preserve">report.</w:t>
      </w:r>
    </w:p>
    <w:p>
      <w:pPr>
        <w:numPr>
          <w:ilvl w:val="0"/>
          <w:numId w:val="1001"/>
        </w:numPr>
        <w:pStyle w:val="Compact"/>
      </w:pPr>
      <w:r>
        <w:t xml:space="preserve">All payments are to be made in Qatari Riyals (QAR) via bank transfer to the account of Al Rayyan Audit &amp; Advisory LLC, Doha, Qatar.</w:t>
      </w:r>
    </w:p>
    <w:p>
      <w:pPr>
        <w:numPr>
          <w:ilvl w:val="0"/>
          <w:numId w:val="1001"/>
        </w:numPr>
        <w:pStyle w:val="Compact"/>
      </w:pPr>
      <w:r>
        <w:t xml:space="preserve">The</w:t>
      </w:r>
      <w:r>
        <w:t xml:space="preserve"> </w:t>
      </w:r>
      <w:r>
        <w:t xml:space="preserve">Auditor</w:t>
      </w:r>
      <w:r>
        <w:t xml:space="preserve"> </w:t>
      </w:r>
      <w:r>
        <w:t xml:space="preserve">shall maintain strict confidentiality regarding all financial information, trade secrets, and proprietary data of the client, in accordance with Qatar's data protection and professional secrecy laws.</w:t>
      </w:r>
    </w:p>
    <w:p>
      <w:pPr>
        <w:numPr>
          <w:ilvl w:val="0"/>
          <w:numId w:val="1001"/>
        </w:numPr>
        <w:pStyle w:val="Compact"/>
      </w:pPr>
      <w:r>
        <w:t xml:space="preserve">Any additional services requested beyond the scope defined in this</w:t>
      </w:r>
      <w:r>
        <w:t xml:space="preserve"> </w:t>
      </w:r>
      <w:r>
        <w:t xml:space="preserve">Quotation Estimate</w:t>
      </w:r>
      <w:r>
        <w:t xml:space="preserve"> </w:t>
      </w:r>
      <w:r>
        <w:t xml:space="preserve">shall be subject to a separate written amendment and additional fees as agreed by both parties.</w:t>
      </w:r>
    </w:p>
    <w:p>
      <w:pPr>
        <w:numPr>
          <w:ilvl w:val="0"/>
          <w:numId w:val="1001"/>
        </w:numPr>
        <w:pStyle w:val="Compact"/>
      </w:pPr>
      <w:r>
        <w:t xml:space="preserve">The</w:t>
      </w:r>
      <w:r>
        <w:t xml:space="preserve"> </w:t>
      </w:r>
      <w:r>
        <w:t xml:space="preserve">Auditor</w:t>
      </w:r>
      <w:r>
        <w:t xml:space="preserve"> </w:t>
      </w:r>
      <w:r>
        <w:t xml:space="preserve">shall complete all fieldwork and deliver the final report within forty-five (45) working days from the date of engagement commencement in</w:t>
      </w:r>
      <w:r>
        <w:t xml:space="preserve"> </w:t>
      </w:r>
      <w:r>
        <w:t xml:space="preserve">Qatar Doha</w:t>
      </w:r>
      <w:r>
        <w:t xml:space="preserve">.</w:t>
      </w:r>
    </w:p>
    <w:p>
      <w:pPr>
        <w:numPr>
          <w:ilvl w:val="0"/>
          <w:numId w:val="1001"/>
        </w:numPr>
        <w:pStyle w:val="Compact"/>
      </w:pPr>
      <w:r>
        <w:t xml:space="preserve">This</w:t>
      </w:r>
      <w:r>
        <w:t xml:space="preserve"> </w:t>
      </w:r>
      <w:r>
        <w:t xml:space="preserve">Quotation Estimate</w:t>
      </w:r>
      <w:r>
        <w:t xml:space="preserve"> </w:t>
      </w:r>
      <w:r>
        <w:t xml:space="preserve">is governed by the laws of the State of Qatar. Any disputes arising from this engagement shall be resolved through the competent courts in</w:t>
      </w:r>
      <w:r>
        <w:t xml:space="preserve"> </w:t>
      </w:r>
      <w:r>
        <w:t xml:space="preserve">Qatar Doha</w:t>
      </w:r>
      <w:r>
        <w:t xml:space="preserve">.</w:t>
      </w:r>
    </w:p>
    <w:p>
      <w:pPr>
        <w:numPr>
          <w:ilvl w:val="0"/>
          <w:numId w:val="1001"/>
        </w:numPr>
        <w:pStyle w:val="Compact"/>
      </w:pPr>
      <w:r>
        <w:t xml:space="preserve">The client agrees to provide timely access to all books, records, systems, and personnel necessary for the</w:t>
      </w:r>
      <w:r>
        <w:t xml:space="preserve"> </w:t>
      </w:r>
      <w:r>
        <w:t xml:space="preserve">Auditor</w:t>
      </w:r>
      <w:r>
        <w:t xml:space="preserve"> </w:t>
      </w:r>
      <w:r>
        <w:t xml:space="preserve">to perform the engagement effectively.</w:t>
      </w:r>
    </w:p>
    <w:bookmarkEnd w:id="24"/>
    <w:bookmarkStart w:id="25" w:name="acceptance-authorization"/>
    <w:p>
      <w:pPr>
        <w:pStyle w:val="Heading2"/>
      </w:pPr>
      <w:r>
        <w:t xml:space="preserve">5. Acceptance &amp; Authorization</w:t>
      </w:r>
    </w:p>
    <w:p>
      <w:pPr>
        <w:pStyle w:val="FirstParagraph"/>
      </w:pPr>
      <w:r>
        <w:t xml:space="preserve">By signing below, the client acknowledges and accepts this</w:t>
      </w:r>
      <w:r>
        <w:t xml:space="preserve"> </w:t>
      </w:r>
      <w:r>
        <w:t xml:space="preserve">Quotation Estimate</w:t>
      </w:r>
      <w:r>
        <w:t xml:space="preserve"> </w:t>
      </w:r>
      <w:r>
        <w:t xml:space="preserve">for</w:t>
      </w:r>
      <w:r>
        <w:t xml:space="preserve"> </w:t>
      </w:r>
      <w:r>
        <w:t xml:space="preserve">Auditor</w:t>
      </w:r>
      <w:r>
        <w:t xml:space="preserve"> </w:t>
      </w:r>
      <w:r>
        <w:t xml:space="preserve">services in</w:t>
      </w:r>
      <w:r>
        <w:t xml:space="preserve"> </w:t>
      </w:r>
      <w:r>
        <w:t xml:space="preserve">Qatar Doha</w:t>
      </w:r>
      <w:r>
        <w:t xml:space="preserve"> </w:t>
      </w:r>
      <w:r>
        <w:t xml:space="preserve">and agrees to all terms and conditions outlined herein.</w:t>
      </w:r>
    </w:p>
    <w:p>
      <w:pPr>
        <w:pStyle w:val="BodyText"/>
      </w:pPr>
      <w:r>
        <w:rPr>
          <w:bCs/>
          <w:b/>
        </w:rPr>
        <w:t xml:space="preserve">For: Al Noor Trading &amp; Contracting WLL</w:t>
      </w:r>
      <w:r>
        <w:br/>
      </w:r>
      <w:r>
        <w:t xml:space="preserve">Name / Title / Signature / Date</w:t>
      </w:r>
    </w:p>
    <w:p>
      <w:pPr>
        <w:pStyle w:val="BodyText"/>
      </w:pPr>
      <w:r>
        <w:rPr>
          <w:bCs/>
          <w:b/>
        </w:rPr>
        <w:t xml:space="preserve">For: Al Rayyan Audit &amp; Advisory LLC</w:t>
      </w:r>
      <w:r>
        <w:br/>
      </w:r>
      <w:r>
        <w:t xml:space="preserve">Name / Title / Signature / Date</w:t>
      </w:r>
    </w:p>
    <w:p>
      <w:pPr>
        <w:pStyle w:val="BodyText"/>
      </w:pPr>
      <w:r>
        <w:t xml:space="preserve">This</w:t>
      </w:r>
      <w:r>
        <w:t xml:space="preserve"> </w:t>
      </w:r>
      <w:r>
        <w:t xml:space="preserve">Quotation Estimate</w:t>
      </w:r>
      <w:r>
        <w:t xml:space="preserve"> </w:t>
      </w:r>
      <w:r>
        <w:t xml:space="preserve">(Ref: QE-AUD-QD-2025-0472) is issued by Al Rayyan Audit &amp; Advisory LLC for</w:t>
      </w:r>
      <w:r>
        <w:t xml:space="preserve"> </w:t>
      </w:r>
      <w:r>
        <w:t xml:space="preserve">Auditor</w:t>
      </w:r>
      <w:r>
        <w:t xml:space="preserve"> </w:t>
      </w:r>
      <w:r>
        <w:t xml:space="preserve">services in</w:t>
      </w:r>
      <w:r>
        <w:t xml:space="preserve"> </w:t>
      </w:r>
      <w:r>
        <w:t xml:space="preserve">Qatar Doha</w:t>
      </w:r>
      <w:r>
        <w:t xml:space="preserve">.</w:t>
      </w:r>
      <w:r>
        <w:br/>
      </w:r>
      <w:r>
        <w:t xml:space="preserve">This document is confidential and intended solely for the named recipient. Unauthorized reproduction or distribution is prohibited.</w:t>
      </w:r>
      <w:r>
        <w:br/>
      </w:r>
      <w:r>
        <w:t xml:space="preserve">© 2025 Al Rayyan Audit &amp; Advisory LLC — Doha, Qatar.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Qatar Doha</dc:title>
  <dc:creator/>
  <dc:language>en</dc:language>
  <cp:keywords/>
  <dcterms:created xsi:type="dcterms:W3CDTF">2026-10-10T05:40:08Z</dcterms:created>
  <dcterms:modified xsi:type="dcterms:W3CDTF">2026-10-10T05:40:08Z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