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Meridian Audit &amp; Advisory Group LLC</w:t>
      </w:r>
    </w:p>
    <w:p>
      <w:pPr>
        <w:pStyle w:val="BodyText"/>
      </w:pPr>
      <w:r>
        <w:t xml:space="preserve">12 Tverskaya Street, Building 4, Office 712, Moscow, 125009, Russia</w:t>
      </w:r>
    </w:p>
    <w:p>
      <w:pPr>
        <w:pStyle w:val="BodyText"/>
      </w:pPr>
      <w:r>
        <w:t xml:space="preserve">Tel: +7 (495) 123-4567 | Email: quotations@meridian-audit.ru</w:t>
      </w:r>
    </w:p>
    <w:p>
      <w:pPr>
        <w:pStyle w:val="BodyText"/>
      </w:pPr>
      <w:r>
        <w:t xml:space="preserve">INN: 7701234567 | OGRN: 1157746000000</w:t>
      </w:r>
    </w:p>
    <w:bookmarkEnd w:id="20"/>
    <w:p>
      <w:pPr>
        <w:pStyle w:val="BodyText"/>
      </w:pPr>
      <w:r>
        <w:rPr>
          <w:bCs/>
          <w:b/>
        </w:rPr>
        <w:t xml:space="preserve">Quotation No.:</w:t>
      </w:r>
      <w:r>
        <w:t xml:space="preserve"> </w:t>
      </w:r>
      <w:r>
        <w:t xml:space="preserve">QE-2025-MOS-0487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OOO "Vostok Industrial Holdings"</w:t>
      </w:r>
    </w:p>
    <w:p>
      <w:pPr>
        <w:pStyle w:val="BodyText"/>
      </w:pPr>
      <w:r>
        <w:rPr>
          <w:bCs/>
          <w:b/>
        </w:rPr>
        <w:t xml:space="preserve">Address:</w:t>
      </w:r>
      <w:r>
        <w:t xml:space="preserve"> </w:t>
      </w:r>
      <w:r>
        <w:t xml:space="preserve">45 Leningradsky Prospekt, Moscow, 125167, Russia</w:t>
      </w:r>
    </w:p>
    <w:p>
      <w:pPr>
        <w:pStyle w:val="BodyText"/>
      </w:pPr>
      <w:r>
        <w:rPr>
          <w:bCs/>
          <w:b/>
        </w:rPr>
        <w:t xml:space="preserve">Attention:</w:t>
      </w:r>
      <w:r>
        <w:t xml:space="preserve"> </w:t>
      </w:r>
      <w:r>
        <w:t xml:space="preserve">Mr. Dmitry Kovalenko, CFO</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Audit &amp; Advisory Group LLC to provide a comprehensive and itemized financial projection for the engagement of a certified</w:t>
      </w:r>
      <w:r>
        <w:t xml:space="preserve"> </w:t>
      </w:r>
      <w:r>
        <w:t xml:space="preserve">Auditor</w:t>
      </w:r>
      <w:r>
        <w:t xml:space="preserve"> </w:t>
      </w:r>
      <w:r>
        <w:t xml:space="preserve">to conduct a full-scope statutory and operational audit of OOO "Vostok Industrial Holdings" for the fiscal year ending 31 December 2025. All services described herein will be performed in accordance with the Federal Law No. 307-FZ "On Audit Activities" of the Russian Federation, the International Standards on Auditing (ISA) as adopted by the Russian Ministry of Finance, and the specific regulatory requirements applicable to entities registered and operating in</w:t>
      </w:r>
      <w:r>
        <w:t xml:space="preserve"> </w:t>
      </w:r>
      <w:r>
        <w:t xml:space="preserve">Russia Moscow</w:t>
      </w:r>
      <w:r>
        <w:t xml:space="preserve"> </w:t>
      </w:r>
      <w:r>
        <w:t xml:space="preserve">and its metropolitan jurisdiction.</w:t>
      </w:r>
    </w:p>
    <w:p>
      <w:pPr>
        <w:pStyle w:val="BodyText"/>
      </w:pPr>
      <w:r>
        <w:t xml:space="preserve">The</w:t>
      </w:r>
      <w:r>
        <w:t xml:space="preserve"> </w:t>
      </w:r>
      <w:r>
        <w:t xml:space="preserve">Auditor</w:t>
      </w:r>
      <w:r>
        <w:t xml:space="preserve"> </w:t>
      </w:r>
      <w:r>
        <w:t xml:space="preserve">engagement encompasses the examination of general-purpose financial statements, internal control assessments, compliance verification with Russian tax legislation (Tax Code of the Russian Federation), and a detailed review of related-party transactions. This</w:t>
      </w:r>
      <w:r>
        <w:t xml:space="preserve"> </w:t>
      </w:r>
      <w:r>
        <w:t xml:space="preserve">Quotation Estimate</w:t>
      </w:r>
      <w:r>
        <w:t xml:space="preserve"> </w:t>
      </w:r>
      <w:r>
        <w:t xml:space="preserve">reflects the professional fees, travel expenses, and ancillary costs anticipated for the complete audit cycle, from planning through the issuance of the final audit opinion.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1.1</w:t>
            </w:r>
          </w:p>
        </w:tc>
        <w:tc>
          <w:tcPr/>
          <w:p>
            <w:pPr>
              <w:pStyle w:val="Compact"/>
              <w:jc w:val="left"/>
            </w:pPr>
            <w:r>
              <w:t xml:space="preserve">Auditor planning meeting, risk assessment, and audit programme development for the Moscow-based entity</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Fieldwork: substantive testing of revenue, cost of goods sold, and inventory at the Moscow production facility</w:t>
            </w:r>
          </w:p>
        </w:tc>
        <w:tc>
          <w:tcPr/>
          <w:p>
            <w:pPr>
              <w:pStyle w:val="Compact"/>
              <w:jc w:val="left"/>
            </w:pPr>
            <w:r>
              <w:t xml:space="preserve">20 days</w:t>
            </w:r>
          </w:p>
        </w:tc>
        <w:tc>
          <w:tcPr/>
          <w:p>
            <w:pPr>
              <w:pStyle w:val="Compact"/>
              <w:jc w:val="left"/>
            </w:pPr>
            <w:r>
              <w:t xml:space="preserve">42,000</w:t>
            </w:r>
          </w:p>
        </w:tc>
        <w:tc>
          <w:tcPr/>
          <w:p>
            <w:pPr>
              <w:pStyle w:val="Compact"/>
              <w:jc w:val="left"/>
            </w:pPr>
            <w:r>
              <w:t xml:space="preserve">840,000</w:t>
            </w:r>
          </w:p>
        </w:tc>
        <w:tc>
          <w:tcPr/>
          <w:p>
            <w:pPr>
              <w:pStyle w:val="Compact"/>
              <w:jc w:val="left"/>
            </w:pPr>
            <w:r>
              <w:t xml:space="preserve">168,000</w:t>
            </w:r>
          </w:p>
        </w:tc>
      </w:tr>
      <w:tr>
        <w:tc>
          <w:tcPr/>
          <w:p>
            <w:pPr>
              <w:pStyle w:val="Compact"/>
              <w:jc w:val="left"/>
            </w:pPr>
            <w:r>
              <w:t xml:space="preserve">1.3</w:t>
            </w:r>
          </w:p>
        </w:tc>
        <w:tc>
          <w:tcPr/>
          <w:p>
            <w:pPr>
              <w:pStyle w:val="Compact"/>
              <w:jc w:val="left"/>
            </w:pPr>
            <w:r>
              <w:t xml:space="preserve">Auditor review of fixed assets, depreciation schedules, and capital expenditure compliance with Russian accounting standards (RAS/IFRS)</w:t>
            </w:r>
          </w:p>
        </w:tc>
        <w:tc>
          <w:tcPr/>
          <w:p>
            <w:pPr>
              <w:pStyle w:val="Compact"/>
              <w:jc w:val="left"/>
            </w:pPr>
            <w:r>
              <w:t xml:space="preserve">8 days</w:t>
            </w:r>
          </w:p>
        </w:tc>
        <w:tc>
          <w:tcPr/>
          <w:p>
            <w:pPr>
              <w:pStyle w:val="Compact"/>
              <w:jc w:val="left"/>
            </w:pPr>
            <w:r>
              <w:t xml:space="preserve">42,000</w:t>
            </w:r>
          </w:p>
        </w:tc>
        <w:tc>
          <w:tcPr/>
          <w:p>
            <w:pPr>
              <w:pStyle w:val="Compact"/>
              <w:jc w:val="left"/>
            </w:pPr>
            <w:r>
              <w:t xml:space="preserve">336,000</w:t>
            </w:r>
          </w:p>
        </w:tc>
        <w:tc>
          <w:tcPr/>
          <w:p>
            <w:pPr>
              <w:pStyle w:val="Compact"/>
              <w:jc w:val="left"/>
            </w:pPr>
            <w:r>
              <w:t xml:space="preserve">67,200</w:t>
            </w:r>
          </w:p>
        </w:tc>
      </w:tr>
      <w:tr>
        <w:tc>
          <w:tcPr/>
          <w:p>
            <w:pPr>
              <w:pStyle w:val="Compact"/>
              <w:jc w:val="left"/>
            </w:pPr>
            <w:r>
              <w:t xml:space="preserve">1.4</w:t>
            </w:r>
          </w:p>
        </w:tc>
        <w:tc>
          <w:tcPr/>
          <w:p>
            <w:pPr>
              <w:pStyle w:val="Compact"/>
              <w:jc w:val="left"/>
            </w:pPr>
            <w:r>
              <w:t xml:space="preserve">Tax compliance verification and reconciliation with Federal Tax Service (FTS) records for Moscow jurisdiction</w:t>
            </w:r>
          </w:p>
        </w:tc>
        <w:tc>
          <w:tcPr/>
          <w:p>
            <w:pPr>
              <w:pStyle w:val="Compact"/>
              <w:jc w:val="left"/>
            </w:pPr>
            <w:r>
              <w:t xml:space="preserve">6 days</w:t>
            </w:r>
          </w:p>
        </w:tc>
        <w:tc>
          <w:tcPr/>
          <w:p>
            <w:pPr>
              <w:pStyle w:val="Compact"/>
              <w:jc w:val="left"/>
            </w:pPr>
            <w:r>
              <w:t xml:space="preserve">40,000</w:t>
            </w:r>
          </w:p>
        </w:tc>
        <w:tc>
          <w:tcPr/>
          <w:p>
            <w:pPr>
              <w:pStyle w:val="Compact"/>
              <w:jc w:val="left"/>
            </w:pPr>
            <w:r>
              <w:t xml:space="preserve">240,000</w:t>
            </w:r>
          </w:p>
        </w:tc>
        <w:tc>
          <w:tcPr/>
          <w:p>
            <w:pPr>
              <w:pStyle w:val="Compact"/>
              <w:jc w:val="left"/>
            </w:pPr>
            <w:r>
              <w:t xml:space="preserve">48,000</w:t>
            </w:r>
          </w:p>
        </w:tc>
      </w:tr>
      <w:tr>
        <w:tc>
          <w:tcPr/>
          <w:p>
            <w:pPr>
              <w:pStyle w:val="Compact"/>
              <w:jc w:val="left"/>
            </w:pPr>
            <w:r>
              <w:t xml:space="preserve">1.5</w:t>
            </w:r>
          </w:p>
        </w:tc>
        <w:tc>
          <w:tcPr/>
          <w:p>
            <w:pPr>
              <w:pStyle w:val="Compact"/>
              <w:jc w:val="left"/>
            </w:pPr>
            <w:r>
              <w:t xml:space="preserve">Internal control evaluation and management letter preparation by the lead Auditor</w:t>
            </w:r>
          </w:p>
        </w:tc>
        <w:tc>
          <w:tcPr/>
          <w:p>
            <w:pPr>
              <w:pStyle w:val="Compact"/>
              <w:jc w:val="left"/>
            </w:pPr>
            <w:r>
              <w:t xml:space="preserve">5 days</w:t>
            </w:r>
          </w:p>
        </w:tc>
        <w:tc>
          <w:tcPr/>
          <w:p>
            <w:pPr>
              <w:pStyle w:val="Compact"/>
              <w:jc w:val="left"/>
            </w:pPr>
            <w:r>
              <w:t xml:space="preserve">48,000</w:t>
            </w:r>
          </w:p>
        </w:tc>
        <w:tc>
          <w:tcPr/>
          <w:p>
            <w:pPr>
              <w:pStyle w:val="Compact"/>
              <w:jc w:val="left"/>
            </w:pPr>
            <w:r>
              <w:t xml:space="preserve">240,000</w:t>
            </w:r>
          </w:p>
        </w:tc>
        <w:tc>
          <w:tcPr/>
          <w:p>
            <w:pPr>
              <w:pStyle w:val="Compact"/>
              <w:jc w:val="left"/>
            </w:pPr>
            <w:r>
              <w:t xml:space="preserve">48,000</w:t>
            </w:r>
          </w:p>
        </w:tc>
      </w:tr>
      <w:tr>
        <w:tc>
          <w:tcPr/>
          <w:p>
            <w:pPr>
              <w:pStyle w:val="Compact"/>
              <w:jc w:val="left"/>
            </w:pPr>
            <w:r>
              <w:t xml:space="preserve">1.6</w:t>
            </w:r>
          </w:p>
        </w:tc>
        <w:tc>
          <w:tcPr/>
          <w:p>
            <w:pPr>
              <w:pStyle w:val="Compact"/>
              <w:jc w:val="left"/>
            </w:pPr>
            <w:r>
              <w:t xml:space="preserve">Drafting, review, and issuance of the final audit report and opinion letter</w:t>
            </w:r>
          </w:p>
        </w:tc>
        <w:tc>
          <w:tcPr/>
          <w:p>
            <w:pPr>
              <w:pStyle w:val="Compact"/>
              <w:jc w:val="left"/>
            </w:pPr>
            <w:r>
              <w:t xml:space="preserve">7 days</w:t>
            </w:r>
          </w:p>
        </w:tc>
        <w:tc>
          <w:tcPr/>
          <w:p>
            <w:pPr>
              <w:pStyle w:val="Compact"/>
              <w:jc w:val="left"/>
            </w:pPr>
            <w:r>
              <w:t xml:space="preserve">50,000</w:t>
            </w:r>
          </w:p>
        </w:tc>
        <w:tc>
          <w:tcPr/>
          <w:p>
            <w:pPr>
              <w:pStyle w:val="Compact"/>
              <w:jc w:val="left"/>
            </w:pPr>
            <w:r>
              <w:t xml:space="preserve">350,000</w:t>
            </w:r>
          </w:p>
        </w:tc>
        <w:tc>
          <w:tcPr/>
          <w:p>
            <w:pPr>
              <w:pStyle w:val="Compact"/>
              <w:jc w:val="left"/>
            </w:pPr>
            <w:r>
              <w:t xml:space="preserve">70,000</w:t>
            </w:r>
          </w:p>
        </w:tc>
      </w:tr>
      <w:tr>
        <w:tc>
          <w:tcPr/>
          <w:p>
            <w:pPr>
              <w:pStyle w:val="Compact"/>
              <w:jc w:val="left"/>
            </w:pPr>
            <w:r>
              <w:t xml:space="preserve">2.1</w:t>
            </w:r>
          </w:p>
        </w:tc>
        <w:tc>
          <w:tcPr/>
          <w:p>
            <w:pPr>
              <w:pStyle w:val="Compact"/>
              <w:jc w:val="left"/>
            </w:pPr>
            <w:r>
              <w:t xml:space="preserve">Travel and accommodation for Auditor team (Moscow metropolitan area, 47 working days)</w:t>
            </w:r>
          </w:p>
        </w:tc>
        <w:tc>
          <w:tcPr/>
          <w:p>
            <w:pPr>
              <w:pStyle w:val="Compact"/>
              <w:jc w:val="left"/>
            </w:pPr>
            <w:r>
              <w:t xml:space="preserve">47 days</w:t>
            </w:r>
          </w:p>
        </w:tc>
        <w:tc>
          <w:tcPr/>
          <w:p>
            <w:pPr>
              <w:pStyle w:val="Compact"/>
              <w:jc w:val="left"/>
            </w:pPr>
            <w:r>
              <w:t xml:space="preserve">3,500</w:t>
            </w:r>
          </w:p>
        </w:tc>
        <w:tc>
          <w:tcPr/>
          <w:p>
            <w:pPr>
              <w:pStyle w:val="Compact"/>
              <w:jc w:val="left"/>
            </w:pPr>
            <w:r>
              <w:t xml:space="preserve">164,500</w:t>
            </w:r>
          </w:p>
        </w:tc>
        <w:tc>
          <w:tcPr/>
          <w:p>
            <w:pPr>
              <w:pStyle w:val="Compact"/>
              <w:jc w:val="left"/>
            </w:pPr>
            <w:r>
              <w:t xml:space="preserve">32,900</w:t>
            </w:r>
          </w:p>
        </w:tc>
      </w:tr>
      <w:tr>
        <w:tc>
          <w:tcPr/>
          <w:p>
            <w:pPr>
              <w:pStyle w:val="Compact"/>
              <w:jc w:val="left"/>
            </w:pPr>
            <w:r>
              <w:t xml:space="preserve">2.2</w:t>
            </w:r>
          </w:p>
        </w:tc>
        <w:tc>
          <w:tcPr/>
          <w:p>
            <w:pPr>
              <w:pStyle w:val="Compact"/>
              <w:jc w:val="left"/>
            </w:pPr>
            <w:r>
              <w:t xml:space="preserve">Professional indemnity insurance and regulatory registration fees (Audit Chamber of Russia)</w:t>
            </w:r>
          </w:p>
        </w:tc>
        <w:tc>
          <w:tcPr/>
          <w:p>
            <w:pPr>
              <w:pStyle w:val="Compact"/>
              <w:jc w:val="left"/>
            </w:pPr>
            <w:r>
              <w:t xml:space="preserve">Annual</w:t>
            </w:r>
          </w:p>
        </w:tc>
        <w:tc>
          <w:tcPr/>
          <w:p>
            <w:pPr>
              <w:pStyle w:val="Compact"/>
              <w:jc w:val="left"/>
            </w:pPr>
            <w:r>
              <w:t xml:space="preserve">—</w:t>
            </w:r>
          </w:p>
        </w:tc>
        <w:tc>
          <w:tcPr/>
          <w:p>
            <w:pPr>
              <w:pStyle w:val="Compact"/>
              <w:jc w:val="left"/>
            </w:pPr>
            <w:r>
              <w:t xml:space="preserve">85,000</w:t>
            </w:r>
          </w:p>
        </w:tc>
        <w:tc>
          <w:tcPr/>
          <w:p>
            <w:pPr>
              <w:pStyle w:val="Compact"/>
              <w:jc w:val="left"/>
            </w:pPr>
            <w:r>
              <w:t xml:space="preserve">17,000</w:t>
            </w:r>
          </w:p>
        </w:tc>
      </w:tr>
      <w:tr>
        <w:tc>
          <w:tcPr>
            <w:gridSpan w:val="4"/>
          </w:tcPr>
          <w:p>
            <w:pPr>
              <w:pStyle w:val="Compact"/>
              <w:jc w:val="left"/>
            </w:pPr>
            <w:r>
              <w:t xml:space="preserve">SUBTOTAL (excl. VAT)</w:t>
            </w:r>
          </w:p>
        </w:tc>
        <w:tc>
          <w:tcPr/>
          <w:p>
            <w:pPr>
              <w:pStyle w:val="Compact"/>
              <w:jc w:val="left"/>
            </w:pPr>
            <w:r>
              <w:t xml:space="preserve">2,480,500</w:t>
            </w:r>
          </w:p>
        </w:tc>
        <w:tc>
          <w:tcPr/>
          <w:p>
            <w:pPr>
              <w:pStyle w:val="Compact"/>
              <w:jc w:val="left"/>
            </w:pPr>
            <w:r>
              <w:t xml:space="preserve">496,100</w:t>
            </w:r>
          </w:p>
        </w:tc>
      </w:tr>
      <w:tr>
        <w:tc>
          <w:tcPr>
            <w:gridSpan w:val="4"/>
          </w:tcPr>
          <w:p>
            <w:pPr>
              <w:pStyle w:val="Compact"/>
              <w:jc w:val="left"/>
            </w:pPr>
            <w:r>
              <w:t xml:space="preserve">GRAND TOTAL (incl. VAT 20%)</w:t>
            </w:r>
          </w:p>
        </w:tc>
        <w:tc>
          <w:tcPr>
            <w:gridSpan w:val="2"/>
          </w:tcPr>
          <w:p>
            <w:pPr>
              <w:pStyle w:val="Compact"/>
              <w:jc w:val="left"/>
            </w:pPr>
            <w:r>
              <w:t xml:space="preserve">2,976,600 RUB</w:t>
            </w:r>
          </w:p>
        </w:tc>
      </w:tr>
    </w:tbl>
    <w:p>
      <w:pPr>
        <w:pStyle w:val="BodyText"/>
      </w:pPr>
      <w:r>
        <w:rPr>
          <w:bCs/>
          <w:b/>
        </w:rPr>
        <w:t xml:space="preserve">Note:</w:t>
      </w:r>
      <w:r>
        <w:t xml:space="preserve"> </w:t>
      </w:r>
      <w:r>
        <w:t xml:space="preserve">This Quotation Estimate is based on the assumption that the client will provide timely access to all financial records, ledgers, and supporting documentation. Any material change in scope, additional locations beyond the Moscow city limits, or extended fieldwork due to client delays will be subject to a revised Quotation Estimate issued within five (5) business days.</w:t>
      </w:r>
    </w:p>
    <w:bookmarkEnd w:id="22"/>
    <w:bookmarkStart w:id="23" w:name="Xfe66970e5e2bcf94143266963f044edeab440f7"/>
    <w:p>
      <w:pPr>
        <w:pStyle w:val="Heading2"/>
      </w:pPr>
      <w:r>
        <w:t xml:space="preserve">3. Auditor Qualifications and Team Composition</w:t>
      </w:r>
    </w:p>
    <w:p>
      <w:pPr>
        <w:pStyle w:val="FirstParagraph"/>
      </w:pPr>
      <w:r>
        <w:t xml:space="preserve">The lead</w:t>
      </w:r>
      <w:r>
        <w:t xml:space="preserve"> </w:t>
      </w:r>
      <w:r>
        <w:t xml:space="preserve">Auditor</w:t>
      </w:r>
      <w:r>
        <w:t xml:space="preserve"> </w:t>
      </w:r>
      <w:r>
        <w:t xml:space="preserve">assigned to this engagement holds a valid certificate of state registration issued by the Ministry of Finance of the Russian Federation, is a member in good standing of the Audit Chamber of Russia, and possesses over fifteen (15) years of experience auditing industrial and manufacturing entities in</w:t>
      </w:r>
      <w:r>
        <w:t xml:space="preserve"> </w:t>
      </w:r>
      <w:r>
        <w:t xml:space="preserve">Russia Moscow</w:t>
      </w:r>
      <w:r>
        <w:t xml:space="preserve">. The engagement team will consist of the lead Auditor, two senior audit associates, and one junior auditor, all of whom are registered with the Russian audit regulatory body and carry individual professional liability insurance.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and conditions must be reconfirmed in writing by both parties.</w:t>
      </w:r>
    </w:p>
    <w:p>
      <w:pPr>
        <w:numPr>
          <w:ilvl w:val="0"/>
          <w:numId w:val="1001"/>
        </w:numPr>
        <w:pStyle w:val="Compact"/>
      </w:pPr>
      <w:r>
        <w:t xml:space="preserve">Payment terms: 40% advance payment upon execution of the engagement letter; 40% upon completion of fieldwork; 20% upon delivery of the final audit report. All payments shall be made in Russian Rubles (RUB) via bank transfer to the account of Meridian Audit &amp; Advisory Group LLC, Sberbank, Moscow branch.</w:t>
      </w:r>
    </w:p>
    <w:p>
      <w:pPr>
        <w:numPr>
          <w:ilvl w:val="0"/>
          <w:numId w:val="1001"/>
        </w:numPr>
        <w:pStyle w:val="Compact"/>
      </w:pPr>
      <w:r>
        <w:t xml:space="preserve">The</w:t>
      </w:r>
      <w:r>
        <w:t xml:space="preserve"> </w:t>
      </w:r>
      <w:r>
        <w:t xml:space="preserve">Auditor</w:t>
      </w:r>
      <w:r>
        <w:t xml:space="preserve"> </w:t>
      </w:r>
      <w:r>
        <w:t xml:space="preserve">shall maintain strict confidentiality in accordance with Article 14 of Federal Law No. 307-FZ and shall not disclose any client information to third parties without written consent, except as required by Russian federal law or court order.</w:t>
      </w:r>
    </w:p>
    <w:p>
      <w:pPr>
        <w:numPr>
          <w:ilvl w:val="0"/>
          <w:numId w:val="1001"/>
        </w:numPr>
        <w:pStyle w:val="Compact"/>
      </w:pPr>
      <w:r>
        <w:t xml:space="preserve">All work products, including working papers, draft reports, and the final audit opinion, shall be the joint intellectual property of the Auditor and the client, with the client retaining the right to use the final report for regulatory, banking, and investor purposes.</w:t>
      </w:r>
    </w:p>
    <w:p>
      <w:pPr>
        <w:numPr>
          <w:ilvl w:val="0"/>
          <w:numId w:val="1001"/>
        </w:numPr>
        <w:pStyle w:val="Compact"/>
      </w:pPr>
      <w:r>
        <w:t xml:space="preserve">This Quotation Estimate does not constitute a binding contract. A formal engagement letter, incorporating the terms herein, must be executed by both parties before any audit procedures commence.</w:t>
      </w:r>
    </w:p>
    <w:p>
      <w:pPr>
        <w:numPr>
          <w:ilvl w:val="0"/>
          <w:numId w:val="1001"/>
        </w:numPr>
        <w:pStyle w:val="Compact"/>
      </w:pPr>
      <w:r>
        <w:t xml:space="preserve">Force majeure events, including but not limited to government-mandated shutdowns, natural disasters, or changes in Russian federal audit legislation, may result in schedule adjustments without penalty to either party.</w:t>
      </w:r>
    </w:p>
    <w:p>
      <w:pPr>
        <w:numPr>
          <w:ilvl w:val="0"/>
          <w:numId w:val="1001"/>
        </w:numPr>
        <w:pStyle w:val="Compact"/>
      </w:pPr>
      <w:r>
        <w:t xml:space="preserve">Any disputes arising from this Quotation Estimate or the subsequent engagement shall be resolved through arbitration at the Arbitration Court of the City of Moscow in accordance with the Arbitration Procedure Code of the Russian Federation.</w:t>
      </w:r>
    </w:p>
    <w:p>
      <w:pPr>
        <w:numPr>
          <w:ilvl w:val="0"/>
          <w:numId w:val="1001"/>
        </w:numPr>
        <w:pStyle w:val="Compact"/>
      </w:pPr>
      <w:r>
        <w:t xml:space="preserve">The Auditor reserves the right to withdraw from the engagement if material non-compliance or fraud is identified and the client refuses to remediate, in which case a pro-rata fee for work completed shall be invoiced.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 scope, fees, and conditions for the</w:t>
      </w:r>
      <w:r>
        <w:t xml:space="preserve"> </w:t>
      </w:r>
      <w:r>
        <w:t xml:space="preserve">Auditor</w:t>
      </w:r>
      <w:r>
        <w:t xml:space="preserve"> </w:t>
      </w:r>
      <w:r>
        <w:t xml:space="preserve">engagement in</w:t>
      </w:r>
      <w:r>
        <w:t xml:space="preserve"> </w:t>
      </w:r>
      <w:r>
        <w:t xml:space="preserve">Russia Moscow</w:t>
      </w:r>
      <w:r>
        <w:t xml:space="preserve">. This document shall serve as the basis for the subsequent formal engagement letter.</w:t>
      </w:r>
    </w:p>
    <w:p>
      <w:pPr>
        <w:pStyle w:val="BodyText"/>
      </w:pPr>
      <w:r>
        <w:rPr>
          <w:bCs/>
          <w:b/>
        </w:rPr>
        <w:t xml:space="preserve">For Meridian Audit &amp; Advisory Group LLC</w:t>
      </w:r>
    </w:p>
    <w:p>
      <w:pPr>
        <w:pStyle w:val="BodyText"/>
      </w:pPr>
      <w:r>
        <w:t xml:space="preserve">Alexei Petrov, Chief Auditor</w:t>
      </w:r>
    </w:p>
    <w:p>
      <w:pPr>
        <w:pStyle w:val="BodyText"/>
      </w:pPr>
      <w:r>
        <w:t xml:space="preserve">Date: _______________</w:t>
      </w:r>
    </w:p>
    <w:p>
      <w:pPr>
        <w:pStyle w:val="BodyText"/>
      </w:pPr>
      <w:r>
        <w:rPr>
          <w:bCs/>
          <w:b/>
        </w:rPr>
        <w:t xml:space="preserve">For OOO "Vostok Industrial Holdings"</w:t>
      </w:r>
    </w:p>
    <w:p>
      <w:pPr>
        <w:pStyle w:val="BodyText"/>
      </w:pPr>
      <w:r>
        <w:t xml:space="preserve">Dmitry Kovalenko, CFO</w:t>
      </w:r>
    </w:p>
    <w:p>
      <w:pPr>
        <w:pStyle w:val="BodyText"/>
      </w:pPr>
      <w:r>
        <w:t xml:space="preserve">Date: _______________</w:t>
      </w:r>
    </w:p>
    <w:p>
      <w:pPr>
        <w:pStyle w:val="BodyText"/>
      </w:pPr>
      <w:r>
        <w:t xml:space="preserve">Meridian Audit &amp; Advisory Group LLC | Quotation Estimate QE-2025-MOS-0487 | Issued in Moscow, Russia</w:t>
      </w:r>
    </w:p>
    <w:p>
      <w:pPr>
        <w:pStyle w:val="BodyText"/>
      </w:pPr>
      <w:r>
        <w:t xml:space="preserve">This document is confidential and intended solely for the named recipient. Unauthorized reproduction or distribution is prohibited under Russian Federal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Russia Moscow</dc:title>
  <dc:creator/>
  <dc:language>en</dc:language>
  <cp:keywords/>
  <dcterms:created xsi:type="dcterms:W3CDTF">2026-10-10T05:47:40Z</dcterms:created>
  <dcterms:modified xsi:type="dcterms:W3CDTF">2026-10-10T05:47:40Z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