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Auditor Services — Russia Saint Petersburg</w:t>
      </w:r>
    </w:p>
    <w:bookmarkEnd w:id="20"/>
    <w:bookmarkStart w:id="21" w:name="prepared-by"/>
    <w:p>
      <w:pPr>
        <w:pStyle w:val="Heading3"/>
      </w:pPr>
      <w:r>
        <w:t xml:space="preserve">Prepared By:</w:t>
      </w:r>
    </w:p>
    <w:p>
      <w:pPr>
        <w:pStyle w:val="FirstParagraph"/>
      </w:pPr>
      <w:r>
        <w:rPr>
          <w:bCs/>
          <w:b/>
        </w:rPr>
        <w:t xml:space="preserve">NorthBridge Audit &amp; Advisory Group LLC</w:t>
      </w:r>
      <w:r>
        <w:br/>
      </w:r>
      <w:r>
        <w:t xml:space="preserve">44 Liteyny Avenue, Office 1207</w:t>
      </w:r>
      <w:r>
        <w:br/>
      </w:r>
      <w:r>
        <w:t xml:space="preserve">Saint Petersburg, 191024, Russian Federation</w:t>
      </w:r>
      <w:r>
        <w:br/>
      </w:r>
      <w:r>
        <w:t xml:space="preserve">Tel: +7 (812) 335-78-42</w:t>
      </w:r>
      <w:r>
        <w:br/>
      </w:r>
      <w:r>
        <w:t xml:space="preserve">Email: estimates@northbridge-audit.ru</w:t>
      </w:r>
      <w:r>
        <w:br/>
      </w:r>
      <w:r>
        <w:t xml:space="preserve">INN: 7805442190 | OGRN: 1157847092341</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[To be confirmed]</w:t>
      </w:r>
      <w:r>
        <w:br/>
      </w:r>
      <w:r>
        <w:rPr>
          <w:bCs/>
          <w:b/>
        </w:rPr>
        <w:t xml:space="preserve">Entity:</w:t>
      </w:r>
      <w:r>
        <w:t xml:space="preserve"> </w:t>
      </w:r>
      <w:r>
        <w:t xml:space="preserve">[Company / Organization Name]</w:t>
      </w:r>
      <w:r>
        <w:br/>
      </w:r>
      <w:r>
        <w:rPr>
          <w:bCs/>
          <w:b/>
        </w:rPr>
        <w:t xml:space="preserve">Address:</w:t>
      </w:r>
      <w:r>
        <w:t xml:space="preserve"> </w:t>
      </w:r>
      <w:r>
        <w:t xml:space="preserve">[Street, District], Saint Petersburg, Russia</w:t>
      </w:r>
      <w:r>
        <w:br/>
      </w:r>
      <w:r>
        <w:rPr>
          <w:bCs/>
          <w:b/>
        </w:rPr>
        <w:t xml:space="preserve">Contact Person:</w:t>
      </w:r>
      <w:r>
        <w:t xml:space="preserve"> </w:t>
      </w:r>
      <w:r>
        <w:t xml:space="preserve">[Name &amp; Title]</w:t>
      </w:r>
      <w:r>
        <w:br/>
      </w:r>
      <w:r>
        <w:rPr>
          <w:bCs/>
          <w:b/>
        </w:rPr>
        <w:t xml:space="preserve">Phone:</w:t>
      </w:r>
      <w:r>
        <w:t xml:space="preserve"> </w:t>
      </w:r>
      <w:r>
        <w:t xml:space="preserve">[To be confirmed]</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QTE-SPB-2025-0417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Russian Ruble (RUB)</w:t>
            </w:r>
          </w:p>
        </w:tc>
      </w:tr>
      <w:tr>
        <w:tc>
          <w:tcPr/>
          <w:p>
            <w:pPr>
              <w:pStyle w:val="Compact"/>
              <w:jc w:val="left"/>
            </w:pPr>
            <w:r>
              <w:t xml:space="preserve">Service Location:</w:t>
            </w:r>
          </w:p>
        </w:tc>
        <w:tc>
          <w:tcPr>
            <w:gridSpan w:val="3"/>
          </w:tcPr>
          <w:p>
            <w:pPr>
              <w:pStyle w:val="Compact"/>
              <w:jc w:val="left"/>
            </w:pPr>
            <w:r>
              <w:t xml:space="preserve">Russia Saint Petersburg (all districts including Central, Vasilyevsky Island, Petrogradskaya, and Krasnogvardeysky)</w:t>
            </w:r>
          </w:p>
        </w:tc>
      </w:tr>
    </w:tbl>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NorthBridge Audit &amp; Advisory Group LLC to provide a comprehensive, itemized cost projection for the engagement of a certified</w:t>
      </w:r>
      <w:r>
        <w:t xml:space="preserve"> </w:t>
      </w:r>
      <w:r>
        <w:t xml:space="preserve">Auditor</w:t>
      </w:r>
      <w:r>
        <w:t xml:space="preserve"> </w:t>
      </w:r>
      <w:r>
        <w:t xml:space="preserve">to perform statutory and internal audit services for the client entity operating within</w:t>
      </w:r>
      <w:r>
        <w:t xml:space="preserve"> </w:t>
      </w:r>
      <w:r>
        <w:t xml:space="preserve">Russia Saint Petersburg</w:t>
      </w:r>
      <w:r>
        <w:t xml:space="preserve">. This document serves as a formal financial proposal and does not constitute a binding contract until both parties execute the definitive engagement letter. All pricing reflects current market rates applicable to the Saint Petersburg professional services sector as of the date of issue.</w:t>
      </w:r>
    </w:p>
    <w:bookmarkEnd w:id="23"/>
    <w:bookmarkStart w:id="24" w:name="detailed-scope-of-auditor-services"/>
    <w:p>
      <w:pPr>
        <w:pStyle w:val="Heading2"/>
      </w:pPr>
      <w:r>
        <w:t xml:space="preserve">2. Detailed Scope of Auditor Services</w:t>
      </w:r>
    </w:p>
    <w:p>
      <w:pPr>
        <w:pStyle w:val="FirstParagraph"/>
      </w:pPr>
      <w:r>
        <w:t xml:space="preserve">The following table outlines the specific deliverables, estimated hours, and associated costs for the</w:t>
      </w:r>
      <w:r>
        <w:t xml:space="preserve"> </w:t>
      </w:r>
      <w:r>
        <w:t xml:space="preserve">Auditor</w:t>
      </w:r>
      <w:r>
        <w:t xml:space="preserve"> </w:t>
      </w:r>
      <w:r>
        <w:t xml:space="preserve">engagement in</w:t>
      </w:r>
      <w:r>
        <w:t xml:space="preserve"> </w:t>
      </w:r>
      <w:r>
        <w:t xml:space="preserve">Russia Saint Petersburg</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Estimated Hours</w:t>
            </w:r>
          </w:p>
        </w:tc>
        <w:tc>
          <w:tcPr/>
          <w:p>
            <w:pPr>
              <w:pStyle w:val="Compact"/>
              <w:jc w:val="left"/>
            </w:pPr>
            <w:r>
              <w:t xml:space="preserve">Rate (RUB/hr)</w:t>
            </w:r>
          </w:p>
        </w:tc>
        <w:tc>
          <w:tcPr/>
          <w:p>
            <w:pPr>
              <w:pStyle w:val="Compact"/>
              <w:jc w:val="left"/>
            </w:pPr>
            <w:r>
              <w:t xml:space="preserve">Subtotal (RUB)</w:t>
            </w:r>
          </w:p>
        </w:tc>
        <w:tc>
          <w:tcPr/>
          <w:p>
            <w:pPr>
              <w:pStyle w:val="Compact"/>
              <w:jc w:val="left"/>
            </w:pPr>
            <w:r>
              <w:t xml:space="preserve">Timeline</w:t>
            </w:r>
          </w:p>
        </w:tc>
      </w:tr>
      <w:tr>
        <w:tc>
          <w:tcPr/>
          <w:p>
            <w:pPr>
              <w:pStyle w:val="Compact"/>
              <w:jc w:val="left"/>
            </w:pPr>
            <w:r>
              <w:t xml:space="preserve">1</w:t>
            </w:r>
          </w:p>
        </w:tc>
        <w:tc>
          <w:tcPr/>
          <w:p>
            <w:pPr>
              <w:pStyle w:val="Compact"/>
              <w:jc w:val="left"/>
            </w:pPr>
            <w:r>
              <w:t xml:space="preserve">Planning &amp; Risk Assessment: Initial on-site meeting in Saint Petersburg, review of prior-year audit files, identification of material risk areas, and development of the detailed audit programme compliant with Russian Federal Accounting Standards (RAS) and IFRS where applicable.</w:t>
            </w:r>
          </w:p>
        </w:tc>
        <w:tc>
          <w:tcPr/>
          <w:p>
            <w:pPr>
              <w:pStyle w:val="Compact"/>
              <w:jc w:val="left"/>
            </w:pPr>
            <w:r>
              <w:t xml:space="preserve">40</w:t>
            </w:r>
          </w:p>
        </w:tc>
        <w:tc>
          <w:tcPr/>
          <w:p>
            <w:pPr>
              <w:pStyle w:val="Compact"/>
              <w:jc w:val="left"/>
            </w:pPr>
            <w:r>
              <w:t xml:space="preserve">4,500</w:t>
            </w:r>
          </w:p>
        </w:tc>
        <w:tc>
          <w:tcPr/>
          <w:p>
            <w:pPr>
              <w:pStyle w:val="Compact"/>
              <w:jc w:val="left"/>
            </w:pPr>
            <w:r>
              <w:t xml:space="preserve">180,000</w:t>
            </w:r>
          </w:p>
        </w:tc>
        <w:tc>
          <w:tcPr/>
          <w:p>
            <w:pPr>
              <w:pStyle w:val="Compact"/>
              <w:jc w:val="left"/>
            </w:pPr>
            <w:r>
              <w:t xml:space="preserve">Weeks 1–2</w:t>
            </w:r>
          </w:p>
        </w:tc>
      </w:tr>
      <w:tr>
        <w:tc>
          <w:tcPr/>
          <w:p>
            <w:pPr>
              <w:pStyle w:val="Compact"/>
              <w:jc w:val="left"/>
            </w:pPr>
            <w:r>
              <w:t xml:space="preserve">2</w:t>
            </w:r>
          </w:p>
        </w:tc>
        <w:tc>
          <w:tcPr/>
          <w:p>
            <w:pPr>
              <w:pStyle w:val="Compact"/>
              <w:jc w:val="left"/>
            </w:pPr>
            <w:r>
              <w:t xml:space="preserve">Fieldwork &amp; Substantive Testing: Execution of internal control walkthroughs, vouching of transactions, confirmation of receivables and payables, physical inventory observation at the client’s Saint Petersburg warehouse facilities, and analytical procedures across all material accounts.</w:t>
            </w:r>
          </w:p>
        </w:tc>
        <w:tc>
          <w:tcPr/>
          <w:p>
            <w:pPr>
              <w:pStyle w:val="Compact"/>
              <w:jc w:val="left"/>
            </w:pPr>
            <w:r>
              <w:t xml:space="preserve">120</w:t>
            </w:r>
          </w:p>
        </w:tc>
        <w:tc>
          <w:tcPr/>
          <w:p>
            <w:pPr>
              <w:pStyle w:val="Compact"/>
              <w:jc w:val="left"/>
            </w:pPr>
            <w:r>
              <w:t xml:space="preserve">4,500</w:t>
            </w:r>
          </w:p>
        </w:tc>
        <w:tc>
          <w:tcPr/>
          <w:p>
            <w:pPr>
              <w:pStyle w:val="Compact"/>
              <w:jc w:val="left"/>
            </w:pPr>
            <w:r>
              <w:t xml:space="preserve">540,000</w:t>
            </w:r>
          </w:p>
        </w:tc>
        <w:tc>
          <w:tcPr/>
          <w:p>
            <w:pPr>
              <w:pStyle w:val="Compact"/>
              <w:jc w:val="left"/>
            </w:pPr>
            <w:r>
              <w:t xml:space="preserve">Weeks 3–6</w:t>
            </w:r>
          </w:p>
        </w:tc>
      </w:tr>
      <w:tr>
        <w:tc>
          <w:tcPr/>
          <w:p>
            <w:pPr>
              <w:pStyle w:val="Compact"/>
              <w:jc w:val="left"/>
            </w:pPr>
            <w:r>
              <w:t xml:space="preserve">3</w:t>
            </w:r>
          </w:p>
        </w:tc>
        <w:tc>
          <w:tcPr/>
          <w:p>
            <w:pPr>
              <w:pStyle w:val="Compact"/>
              <w:jc w:val="left"/>
            </w:pPr>
            <w:r>
              <w:t xml:space="preserve">Compliance &amp; Regulatory Review: Verification of adherence to the Tax Code of the Russian Federation, Federal Law No. 208-FZ on Auditing, and specific municipal regulations governing business operations in Saint Petersburg. Includes review of VAT filings, profit tax declarations, and social insurance contributions.</w:t>
            </w:r>
          </w:p>
        </w:tc>
        <w:tc>
          <w:tcPr/>
          <w:p>
            <w:pPr>
              <w:pStyle w:val="Compact"/>
              <w:jc w:val="left"/>
            </w:pPr>
            <w:r>
              <w:t xml:space="preserve">30</w:t>
            </w:r>
          </w:p>
        </w:tc>
        <w:tc>
          <w:tcPr/>
          <w:p>
            <w:pPr>
              <w:pStyle w:val="Compact"/>
              <w:jc w:val="left"/>
            </w:pPr>
            <w:r>
              <w:t xml:space="preserve">5,000</w:t>
            </w:r>
          </w:p>
        </w:tc>
        <w:tc>
          <w:tcPr/>
          <w:p>
            <w:pPr>
              <w:pStyle w:val="Compact"/>
              <w:jc w:val="left"/>
            </w:pPr>
            <w:r>
              <w:t xml:space="preserve">150,000</w:t>
            </w:r>
          </w:p>
        </w:tc>
        <w:tc>
          <w:tcPr/>
          <w:p>
            <w:pPr>
              <w:pStyle w:val="Compact"/>
              <w:jc w:val="left"/>
            </w:pPr>
            <w:r>
              <w:t xml:space="preserve">Weeks 5–7</w:t>
            </w:r>
          </w:p>
        </w:tc>
      </w:tr>
      <w:tr>
        <w:tc>
          <w:tcPr/>
          <w:p>
            <w:pPr>
              <w:pStyle w:val="Compact"/>
              <w:jc w:val="left"/>
            </w:pPr>
            <w:r>
              <w:t xml:space="preserve">4</w:t>
            </w:r>
          </w:p>
        </w:tc>
        <w:tc>
          <w:tcPr/>
          <w:p>
            <w:pPr>
              <w:pStyle w:val="Compact"/>
              <w:jc w:val="left"/>
            </w:pPr>
            <w:r>
              <w:t xml:space="preserve">Management Letter &amp; Recommendations: Preparation of a detailed findings memorandum addressing control deficiencies, operational inefficiencies, and strategic recommendations tailored to the client’s industry sector within the Saint Petersburg business environment.</w:t>
            </w:r>
          </w:p>
        </w:tc>
        <w:tc>
          <w:tcPr/>
          <w:p>
            <w:pPr>
              <w:pStyle w:val="Compact"/>
              <w:jc w:val="left"/>
            </w:pPr>
            <w:r>
              <w:t xml:space="preserve">20</w:t>
            </w:r>
          </w:p>
        </w:tc>
        <w:tc>
          <w:tcPr/>
          <w:p>
            <w:pPr>
              <w:pStyle w:val="Compact"/>
              <w:jc w:val="left"/>
            </w:pPr>
            <w:r>
              <w:t xml:space="preserve">5,500</w:t>
            </w:r>
          </w:p>
        </w:tc>
        <w:tc>
          <w:tcPr/>
          <w:p>
            <w:pPr>
              <w:pStyle w:val="Compact"/>
              <w:jc w:val="left"/>
            </w:pPr>
            <w:r>
              <w:t xml:space="preserve">110,000</w:t>
            </w:r>
          </w:p>
        </w:tc>
        <w:tc>
          <w:tcPr/>
          <w:p>
            <w:pPr>
              <w:pStyle w:val="Compact"/>
              <w:jc w:val="left"/>
            </w:pPr>
            <w:r>
              <w:t xml:space="preserve">Week 8</w:t>
            </w:r>
          </w:p>
        </w:tc>
      </w:tr>
      <w:tr>
        <w:tc>
          <w:tcPr/>
          <w:p>
            <w:pPr>
              <w:pStyle w:val="Compact"/>
              <w:jc w:val="left"/>
            </w:pPr>
            <w:r>
              <w:t xml:space="preserve">5</w:t>
            </w:r>
          </w:p>
        </w:tc>
        <w:tc>
          <w:tcPr/>
          <w:p>
            <w:pPr>
              <w:pStyle w:val="Compact"/>
              <w:jc w:val="left"/>
            </w:pPr>
            <w:r>
              <w:t xml:space="preserve">Final Audit Report &amp; Opinion: Drafting, internal quality review, and issuance of the final Auditor’s report including the audit opinion, key audit matters, and required disclosures. Submission to the client’s board of directors and, where mandated, to the Federal Tax Service of Saint Petersburg.</w:t>
            </w:r>
          </w:p>
        </w:tc>
        <w:tc>
          <w:tcPr/>
          <w:p>
            <w:pPr>
              <w:pStyle w:val="Compact"/>
              <w:jc w:val="left"/>
            </w:pPr>
            <w:r>
              <w:t xml:space="preserve">25</w:t>
            </w:r>
          </w:p>
        </w:tc>
        <w:tc>
          <w:tcPr/>
          <w:p>
            <w:pPr>
              <w:pStyle w:val="Compact"/>
              <w:jc w:val="left"/>
            </w:pPr>
            <w:r>
              <w:t xml:space="preserve">5,500</w:t>
            </w:r>
          </w:p>
        </w:tc>
        <w:tc>
          <w:tcPr/>
          <w:p>
            <w:pPr>
              <w:pStyle w:val="Compact"/>
              <w:jc w:val="left"/>
            </w:pPr>
            <w:r>
              <w:t xml:space="preserve">137,500</w:t>
            </w:r>
          </w:p>
        </w:tc>
        <w:tc>
          <w:tcPr/>
          <w:p>
            <w:pPr>
              <w:pStyle w:val="Compact"/>
              <w:jc w:val="left"/>
            </w:pPr>
            <w:r>
              <w:t xml:space="preserve">Weeks 8–9</w:t>
            </w:r>
          </w:p>
        </w:tc>
      </w:tr>
      <w:tr>
        <w:tc>
          <w:tcPr/>
          <w:p>
            <w:pPr>
              <w:pStyle w:val="Compact"/>
              <w:jc w:val="left"/>
            </w:pPr>
            <w:r>
              <w:t xml:space="preserve">6</w:t>
            </w:r>
          </w:p>
        </w:tc>
        <w:tc>
          <w:tcPr/>
          <w:p>
            <w:pPr>
              <w:pStyle w:val="Compact"/>
              <w:jc w:val="left"/>
            </w:pPr>
            <w:r>
              <w:t xml:space="preserve">Post-Audit Support &amp; Consultation: Up to 10 hours of follow-up consultation for the client’s finance team in Saint Petersburg to address queries arising from the audit findings and to assist with implementation of recommended corrective actions.</w:t>
            </w:r>
          </w:p>
        </w:tc>
        <w:tc>
          <w:tcPr/>
          <w:p>
            <w:pPr>
              <w:pStyle w:val="Compact"/>
              <w:jc w:val="left"/>
            </w:pPr>
            <w:r>
              <w:t xml:space="preserve">10</w:t>
            </w:r>
          </w:p>
        </w:tc>
        <w:tc>
          <w:tcPr/>
          <w:p>
            <w:pPr>
              <w:pStyle w:val="Compact"/>
              <w:jc w:val="left"/>
            </w:pPr>
            <w:r>
              <w:t xml:space="preserve">4,000</w:t>
            </w:r>
          </w:p>
        </w:tc>
        <w:tc>
          <w:tcPr/>
          <w:p>
            <w:pPr>
              <w:pStyle w:val="Compact"/>
              <w:jc w:val="left"/>
            </w:pPr>
            <w:r>
              <w:t xml:space="preserve">40,000</w:t>
            </w:r>
          </w:p>
        </w:tc>
        <w:tc>
          <w:tcPr/>
          <w:p>
            <w:pPr>
              <w:pStyle w:val="Compact"/>
              <w:jc w:val="left"/>
            </w:pPr>
            <w:r>
              <w:t xml:space="preserve">Weeks 10–11</w:t>
            </w:r>
          </w:p>
        </w:tc>
      </w:tr>
      <w:tr>
        <w:tc>
          <w:tcPr>
            <w:gridSpan w:val="4"/>
          </w:tcPr>
          <w:p>
            <w:pPr>
              <w:pStyle w:val="Compact"/>
              <w:jc w:val="left"/>
            </w:pPr>
            <w:r>
              <w:t xml:space="preserve">TOTAL ESTIMATED PROFESSIONAL FEES</w:t>
            </w:r>
          </w:p>
        </w:tc>
        <w:tc>
          <w:tcPr/>
          <w:p>
            <w:pPr>
              <w:pStyle w:val="Compact"/>
              <w:jc w:val="left"/>
            </w:pPr>
            <w:r>
              <w:t xml:space="preserve">1,157,500</w:t>
            </w:r>
          </w:p>
        </w:tc>
        <w:tc>
          <w:tcPr/>
          <w:p>
            <w:pPr>
              <w:pStyle w:val="Compact"/>
              <w:jc w:val="left"/>
            </w:pPr>
            <w:r>
              <w:t xml:space="preserve">11 Weeks</w:t>
            </w:r>
          </w:p>
        </w:tc>
      </w:tr>
      <w:tr>
        <w:tc>
          <w:tcPr>
            <w:gridSpan w:val="4"/>
          </w:tcPr>
          <w:p>
            <w:pPr>
              <w:pStyle w:val="Compact"/>
              <w:jc w:val="left"/>
            </w:pPr>
            <w:r>
              <w:t xml:space="preserve">VAT (20% per Russian Tax Code)</w:t>
            </w:r>
          </w:p>
        </w:tc>
        <w:tc>
          <w:tcPr/>
          <w:p>
            <w:pPr>
              <w:pStyle w:val="Compact"/>
              <w:jc w:val="left"/>
            </w:pPr>
            <w:r>
              <w:t xml:space="preserve">231,500</w:t>
            </w:r>
          </w:p>
        </w:tc>
        <w:tc>
          <w:tcPr/>
          <w:p>
            <w:pPr>
              <w:pStyle w:val="Compact"/>
              <w:jc w:val="left"/>
            </w:pPr>
            <w:r>
              <w:t xml:space="preserve">—</w:t>
            </w:r>
          </w:p>
        </w:tc>
      </w:tr>
      <w:tr>
        <w:tc>
          <w:tcPr>
            <w:gridSpan w:val="4"/>
          </w:tcPr>
          <w:p>
            <w:pPr>
              <w:pStyle w:val="Compact"/>
              <w:jc w:val="left"/>
            </w:pPr>
            <w:r>
              <w:t xml:space="preserve">GRAND TOTAL (VAT inclusive)</w:t>
            </w:r>
          </w:p>
        </w:tc>
        <w:tc>
          <w:tcPr/>
          <w:p>
            <w:pPr>
              <w:pStyle w:val="Compact"/>
              <w:jc w:val="left"/>
            </w:pPr>
            <w:r>
              <w:t xml:space="preserve">1,389,000</w:t>
            </w:r>
          </w:p>
        </w:tc>
        <w:tc>
          <w:tcPr/>
          <w:p>
            <w:pPr>
              <w:pStyle w:val="Compact"/>
              <w:jc w:val="left"/>
            </w:pPr>
            <w:r>
              <w:t xml:space="preserve">—</w:t>
            </w:r>
          </w:p>
        </w:tc>
      </w:tr>
    </w:tbl>
    <w:bookmarkEnd w:id="24"/>
    <w:bookmarkStart w:id="25" w:name="additional-costs-and-reimbursements"/>
    <w:p>
      <w:pPr>
        <w:pStyle w:val="Heading2"/>
      </w:pPr>
      <w:r>
        <w:t xml:space="preserve">3. Additional Costs and Reimbursements</w:t>
      </w:r>
    </w:p>
    <w:p>
      <w:pPr>
        <w:pStyle w:val="FirstParagraph"/>
      </w:pPr>
      <w:r>
        <w:t xml:space="preserve">The following expenses, if incurred during the</w:t>
      </w:r>
      <w:r>
        <w:t xml:space="preserve"> </w:t>
      </w:r>
      <w:r>
        <w:t xml:space="preserve">Auditor</w:t>
      </w:r>
      <w:r>
        <w:t xml:space="preserve">’s engagement in</w:t>
      </w:r>
      <w:r>
        <w:t xml:space="preserve"> </w:t>
      </w:r>
      <w:r>
        <w:t xml:space="preserve">Russia Saint Petersburg</w:t>
      </w:r>
      <w:r>
        <w:t xml:space="preserve">, will be billed at actual cost with supporting documentation:</w:t>
      </w:r>
    </w:p>
    <w:p>
      <w:pPr>
        <w:numPr>
          <w:ilvl w:val="0"/>
          <w:numId w:val="1001"/>
        </w:numPr>
        <w:pStyle w:val="Compact"/>
      </w:pPr>
      <w:r>
        <w:t xml:space="preserve">Travel and local transportation within Saint Petersburg city limits (estimated not to exceed 15,000 RUB).</w:t>
      </w:r>
    </w:p>
    <w:p>
      <w:pPr>
        <w:numPr>
          <w:ilvl w:val="0"/>
          <w:numId w:val="1001"/>
        </w:numPr>
        <w:pStyle w:val="Compact"/>
      </w:pPr>
      <w:r>
        <w:t xml:space="preserve">Third-party confirmation fees (bank confirmations, legal counsel opinions) at face value.</w:t>
      </w:r>
    </w:p>
    <w:p>
      <w:pPr>
        <w:numPr>
          <w:ilvl w:val="0"/>
          <w:numId w:val="1001"/>
        </w:numPr>
        <w:pStyle w:val="Compact"/>
      </w:pPr>
      <w:r>
        <w:t xml:space="preserve">Photocopying, printing, and courier services for document delivery (estimated not to exceed 8,000 RUB).</w:t>
      </w:r>
    </w:p>
    <w:p>
      <w:pPr>
        <w:numPr>
          <w:ilvl w:val="0"/>
          <w:numId w:val="1001"/>
        </w:numPr>
        <w:pStyle w:val="Compact"/>
      </w:pPr>
      <w:r>
        <w:t xml:space="preserve">Any overtime work beyond the estimated hours listed above will be billed at 1.5× the applicable hourly rate.</w:t>
      </w:r>
    </w:p>
    <w:bookmarkEnd w:id="25"/>
    <w:bookmarkStart w:id="26"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remains valid for thirty (30) calendar days from the date of issue. Upon expiry, all rates and availability must be reconfirmed in writing by NorthBridge Audit &amp; Advisory Group LLC.</w:t>
      </w:r>
    </w:p>
    <w:p>
      <w:pPr>
        <w:pStyle w:val="BodyText"/>
      </w:pPr>
      <w:r>
        <w:rPr>
          <w:bCs/>
          <w:b/>
        </w:rPr>
        <w:t xml:space="preserve">4.2 Payment Terms.</w:t>
      </w:r>
      <w:r>
        <w:t xml:space="preserve"> </w:t>
      </w:r>
      <w:r>
        <w:t xml:space="preserve">Payment shall be made in Russian Rubles (RUB) via bank transfer to the account of NorthBridge Audit &amp; Advisory Group LLC. A 40% advance payment is due upon execution of the engagement letter. The remaining 60% is payable within fifteen (15) business days of delivery of the final Auditor’s report.</w:t>
      </w:r>
    </w:p>
    <w:p>
      <w:pPr>
        <w:pStyle w:val="BodyText"/>
      </w:pPr>
      <w:r>
        <w:rPr>
          <w:bCs/>
          <w:b/>
        </w:rPr>
        <w:t xml:space="preserve">4.3 Confidentiality.</w:t>
      </w:r>
      <w:r>
        <w:t xml:space="preserve"> </w:t>
      </w:r>
      <w:r>
        <w:t xml:space="preserve">The</w:t>
      </w:r>
      <w:r>
        <w:t xml:space="preserve"> </w:t>
      </w:r>
      <w:r>
        <w:t xml:space="preserve">Auditor</w:t>
      </w:r>
      <w:r>
        <w:t xml:space="preserve"> </w:t>
      </w:r>
      <w:r>
        <w:t xml:space="preserve">and all supporting staff shall maintain strict confidentiality of all financial records, trade secrets, and proprietary information of the client in accordance with Federal Law No. 208-FZ and the professional code of ethics of the Russian Association of Certified Auditors.</w:t>
      </w:r>
    </w:p>
    <w:p>
      <w:pPr>
        <w:pStyle w:val="BodyText"/>
      </w:pPr>
      <w:r>
        <w:rPr>
          <w:bCs/>
          <w:b/>
        </w:rPr>
        <w:t xml:space="preserve">4.4 Independence.</w:t>
      </w:r>
      <w:r>
        <w:t xml:space="preserve"> </w:t>
      </w:r>
      <w:r>
        <w:t xml:space="preserve">The</w:t>
      </w:r>
      <w:r>
        <w:t xml:space="preserve"> </w:t>
      </w:r>
      <w:r>
        <w:t xml:space="preserve">Auditor</w:t>
      </w:r>
      <w:r>
        <w:t xml:space="preserve"> </w:t>
      </w:r>
      <w:r>
        <w:t xml:space="preserve">engaged under this</w:t>
      </w:r>
      <w:r>
        <w:t xml:space="preserve"> </w:t>
      </w:r>
      <w:r>
        <w:t xml:space="preserve">Quotation Estimate</w:t>
      </w:r>
      <w:r>
        <w:t xml:space="preserve"> </w:t>
      </w:r>
      <w:r>
        <w:t xml:space="preserve">confirms full independence from the client entity and its management, with no financial, familial, or business relationships that could impair objectivity.</w:t>
      </w:r>
    </w:p>
    <w:p>
      <w:pPr>
        <w:pStyle w:val="BodyText"/>
      </w:pPr>
      <w:r>
        <w:rPr>
          <w:bCs/>
          <w:b/>
        </w:rPr>
        <w:t xml:space="preserve">4.5 Jurisdiction.</w:t>
      </w:r>
      <w:r>
        <w:t xml:space="preserve"> </w:t>
      </w:r>
      <w:r>
        <w:t xml:space="preserve">Any disputes arising from this engagement shall be resolved in accordance with the laws of the Russian Federation, with exclusive jurisdiction vested in the Arbitration Court of Saint Petersburg and Leningrad Oblast.</w:t>
      </w:r>
    </w:p>
    <w:p>
      <w:pPr>
        <w:pStyle w:val="BodyText"/>
      </w:pPr>
      <w:r>
        <w:rPr>
          <w:bCs/>
          <w:b/>
        </w:rPr>
        <w:t xml:space="preserve">4.6 Force Majeure.</w:t>
      </w:r>
      <w:r>
        <w:t xml:space="preserve"> </w:t>
      </w:r>
      <w:r>
        <w:t xml:space="preserve">Neither party shall be liable for delays or non-performance caused by events beyond reasonable control, including but not limited to natural disasters, government sanctions, or public health emergencies affecting operations in Saint Petersburg.</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pricing, and terms set forth herein for the engagement of the</w:t>
      </w:r>
      <w:r>
        <w:t xml:space="preserve"> </w:t>
      </w:r>
      <w:r>
        <w:t xml:space="preserve">Auditor</w:t>
      </w:r>
      <w:r>
        <w:t xml:space="preserve"> </w:t>
      </w:r>
      <w:r>
        <w:t xml:space="preserve">in</w:t>
      </w:r>
      <w:r>
        <w:t xml:space="preserve"> </w:t>
      </w:r>
      <w:r>
        <w:t xml:space="preserve">Russia Saint Petersburg</w:t>
      </w:r>
      <w:r>
        <w:t xml:space="preserve">. This signature does not constitute a final contract; a separate engagement letter will be prepared and executed prior to the commencement of fieldwork.</w:t>
      </w:r>
    </w:p>
    <w:p>
      <w:pPr>
        <w:pStyle w:val="BodyText"/>
      </w:pPr>
      <w:r>
        <w:rPr>
          <w:bCs/>
          <w:b/>
        </w:rPr>
        <w:t xml:space="preserve">For NorthBridge Audit &amp; Advisory Group LLC:</w:t>
      </w:r>
    </w:p>
    <w:p>
      <w:pPr>
        <w:pStyle w:val="BodyText"/>
      </w:pPr>
      <w:r>
        <w:rPr>
          <w:bCs/>
          <w:b/>
        </w:rPr>
        <w:t xml:space="preserve">Alexei V. Petrov</w:t>
      </w:r>
      <w:r>
        <w:br/>
      </w:r>
      <w:r>
        <w:t xml:space="preserve">Lead Auditor, CPA (Russian Federation)</w:t>
      </w:r>
      <w:r>
        <w:br/>
      </w:r>
      <w:r>
        <w:t xml:space="preserve">Date: _______________</w:t>
      </w:r>
    </w:p>
    <w:p>
      <w:pPr>
        <w:pStyle w:val="BodyText"/>
      </w:pPr>
      <w:r>
        <w:rPr>
          <w:bCs/>
          <w:b/>
        </w:rPr>
        <w:t xml:space="preserve">For the Client:</w:t>
      </w:r>
    </w:p>
    <w:p>
      <w:pPr>
        <w:pStyle w:val="BodyText"/>
      </w:pPr>
      <w:r>
        <w:rPr>
          <w:bCs/>
          <w:b/>
        </w:rPr>
        <w:t xml:space="preserve">_________________________</w:t>
      </w:r>
      <w:r>
        <w:br/>
      </w:r>
      <w:r>
        <w:t xml:space="preserve">Name &amp; Title</w:t>
      </w:r>
      <w:r>
        <w:br/>
      </w:r>
      <w:r>
        <w:t xml:space="preserve">Date: _______________</w:t>
      </w:r>
    </w:p>
    <w:p>
      <w:pPr>
        <w:pStyle w:val="BodyText"/>
      </w:pPr>
      <w:r>
        <w:t xml:space="preserve">Quotation Estimate No. QTE-SPB-2025-0417 — Issued for Auditor Services in Russia Saint Petersburg</w:t>
      </w:r>
      <w:r>
        <w:br/>
      </w:r>
      <w:r>
        <w:t xml:space="preserve">NorthBridge Audit &amp; Advisory Group LLC — 44 Liteyny Avenue, Saint Petersburg, 191024, Russian Federation</w:t>
      </w:r>
      <w:r>
        <w:br/>
      </w:r>
      <w:r>
        <w:t xml:space="preserve">This document is confidential and intended solely for the named recipient. Unauthorized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Russia Saint Petersburg</dc:title>
  <dc:creator/>
  <dc:language>en</dc:language>
  <cp:keywords/>
  <dcterms:created xsi:type="dcterms:W3CDTF">2026-10-10T04:45:22Z</dcterms:created>
  <dcterms:modified xsi:type="dcterms:W3CDTF">2026-10-10T04:45:22Z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