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Auditor Services — Thailand Bangkok</w:t>
      </w:r>
    </w:p>
    <w:bookmarkEnd w:id="20"/>
    <w:bookmarkStart w:id="21" w:name="service-provider"/>
    <w:p>
      <w:pPr>
        <w:pStyle w:val="Heading3"/>
      </w:pPr>
      <w:r>
        <w:t xml:space="preserve">Service Provider</w:t>
      </w:r>
    </w:p>
    <w:p>
      <w:pPr>
        <w:pStyle w:val="FirstParagraph"/>
      </w:pPr>
      <w:r>
        <w:rPr>
          <w:bCs/>
          <w:b/>
        </w:rPr>
        <w:t xml:space="preserve">Meridian Audit &amp; Advisory Group Co., Ltd.</w:t>
      </w:r>
      <w:r>
        <w:br/>
      </w:r>
      <w:r>
        <w:t xml:space="preserve">42nd Floor, Sathorn Square Tower</w:t>
      </w:r>
      <w:r>
        <w:br/>
      </w:r>
      <w:r>
        <w:t xml:space="preserve">981 New Petchburi Road, Bangkapi</w:t>
      </w:r>
      <w:r>
        <w:br/>
      </w:r>
      <w:r>
        <w:t xml:space="preserve">Bangkok 10310, Thailand</w:t>
      </w:r>
      <w:r>
        <w:br/>
      </w:r>
      <w:r>
        <w:t xml:space="preserve">Tel: +66 (0) 2 255 8800</w:t>
      </w:r>
      <w:r>
        <w:br/>
      </w:r>
      <w:r>
        <w:t xml:space="preserve">Email: quotations@meridianaudit.co.th</w:t>
      </w:r>
      <w:r>
        <w:br/>
      </w:r>
      <w:r>
        <w:t xml:space="preserve">VAT Reg. No: 0105559876543</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r>
        <w:br/>
      </w:r>
      <w:r>
        <w:rPr>
          <w:bCs/>
          <w:b/>
        </w:rPr>
        <w:t xml:space="preserve">Address:</w:t>
      </w:r>
      <w:r>
        <w:t xml:space="preserve"> </w:t>
      </w:r>
      <w:r>
        <w:t xml:space="preserve">[Client Address], Bangkok, Thailand</w:t>
      </w:r>
      <w:r>
        <w:br/>
      </w:r>
      <w:r>
        <w:rPr>
          <w:bCs/>
          <w:b/>
        </w:rPr>
        <w:t xml:space="preserve">Attention:</w:t>
      </w:r>
      <w:r>
        <w:t xml:space="preserve"> </w:t>
      </w:r>
      <w:r>
        <w:t xml:space="preserve">[Contact Person]</w:t>
      </w:r>
      <w:r>
        <w:br/>
      </w:r>
      <w:r>
        <w:rPr>
          <w:bCs/>
          <w:b/>
        </w:rPr>
        <w:t xml:space="preserve">Phone:</w:t>
      </w:r>
      <w:r>
        <w:t xml:space="preserve"> </w:t>
      </w:r>
      <w:r>
        <w:t xml:space="preserve">[Client Phone]</w:t>
      </w:r>
      <w:r>
        <w:br/>
      </w: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QTE-2025-BKK-0472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Thai Baht (THB)</w:t>
            </w:r>
          </w:p>
        </w:tc>
      </w:tr>
      <w:tr>
        <w:tc>
          <w:tcPr/>
          <w:p>
            <w:pPr>
              <w:pStyle w:val="Compact"/>
              <w:jc w:val="left"/>
            </w:pPr>
            <w:r>
              <w:t xml:space="preserve">Service Location:</w:t>
            </w:r>
          </w:p>
        </w:tc>
        <w:tc>
          <w:tcPr>
            <w:gridSpan w:val="3"/>
          </w:tcPr>
          <w:p>
            <w:pPr>
              <w:pStyle w:val="Compact"/>
              <w:jc w:val="left"/>
            </w:pPr>
            <w:r>
              <w:t xml:space="preserve">Thailand Bangkok — All engagements conducted within the Bangkok Metropolitan Region</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Meridian Audit &amp; Advisory Group Co., Ltd. to provide a comprehensive and transparent breakdown of professional fees for the engagement of a certified</w:t>
      </w:r>
      <w:r>
        <w:t xml:space="preserve"> </w:t>
      </w:r>
      <w:r>
        <w:t xml:space="preserve">Auditor</w:t>
      </w:r>
      <w:r>
        <w:t xml:space="preserve"> </w:t>
      </w:r>
      <w:r>
        <w:t xml:space="preserve">to perform statutory and internal audit services for the client's operations located in</w:t>
      </w:r>
      <w:r>
        <w:t xml:space="preserve"> </w:t>
      </w:r>
      <w:r>
        <w:t xml:space="preserve">Thailand Bangkok</w:t>
      </w:r>
      <w:r>
        <w:t xml:space="preserve">. This document serves as a binding financial proposal and outlines the full scope, deliverables, timelines, and associated costs for the proposed</w:t>
      </w:r>
      <w:r>
        <w:t xml:space="preserve"> </w:t>
      </w:r>
      <w:r>
        <w:t xml:space="preserve">Auditor</w:t>
      </w:r>
      <w:r>
        <w:t xml:space="preserve"> </w:t>
      </w:r>
      <w:r>
        <w:t xml:space="preserve">engagement. All pricing reflected in this</w:t>
      </w:r>
      <w:r>
        <w:t xml:space="preserve"> </w:t>
      </w:r>
      <w:r>
        <w:t xml:space="preserve">Quotation Estimate</w:t>
      </w:r>
      <w:r>
        <w:t xml:space="preserve"> </w:t>
      </w:r>
      <w:r>
        <w:t xml:space="preserve">is exclusive of applicable Value Added Tax (VAT) at the prevailing rate of 7% as mandated by the Revenue Department of Thailand.</w:t>
      </w:r>
    </w:p>
    <w:bookmarkEnd w:id="23"/>
    <w:bookmarkStart w:id="24"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engagement, as detailed in this</w:t>
      </w:r>
      <w:r>
        <w:t xml:space="preserve"> </w:t>
      </w:r>
      <w:r>
        <w:t xml:space="preserve">Quotation Estimate</w:t>
      </w:r>
      <w:r>
        <w:t xml:space="preserve">, encompasses the following professional services to be delivered in</w:t>
      </w:r>
      <w:r>
        <w:t xml:space="preserve"> </w:t>
      </w:r>
      <w:r>
        <w:t xml:space="preserve">Thailand Bangkok</w:t>
      </w:r>
      <w:r>
        <w:t xml:space="preserve">:</w:t>
      </w:r>
    </w:p>
    <w:p>
      <w:pPr>
        <w:numPr>
          <w:ilvl w:val="0"/>
          <w:numId w:val="1001"/>
        </w:numPr>
        <w:pStyle w:val="Compact"/>
      </w:pPr>
      <w:r>
        <w:rPr>
          <w:bCs/>
          <w:b/>
        </w:rPr>
        <w:t xml:space="preserve">Statutory Financial Audit:</w:t>
      </w:r>
      <w:r>
        <w:t xml:space="preserve"> </w:t>
      </w:r>
      <w:r>
        <w:t xml:space="preserve">Full examination of the client's annual financial statements in compliance with Thai Financial Reporting Standards (TFRS) and the Accounting Act B.E. 2547 (2004), as enforced by the Thai Institute of Certified Public Accountants (TICPA).</w:t>
      </w:r>
    </w:p>
    <w:p>
      <w:pPr>
        <w:numPr>
          <w:ilvl w:val="0"/>
          <w:numId w:val="1001"/>
        </w:numPr>
        <w:pStyle w:val="Compact"/>
      </w:pPr>
      <w:r>
        <w:rPr>
          <w:bCs/>
          <w:b/>
        </w:rPr>
        <w:t xml:space="preserve">Internal Audit &amp; Risk Assessment:</w:t>
      </w:r>
      <w:r>
        <w:t xml:space="preserve"> </w:t>
      </w:r>
      <w:r>
        <w:t xml:space="preserve">Comprehensive review of internal controls, operational processes, and risk management frameworks across all client departments situated in the Bangkok metropolitan area.</w:t>
      </w:r>
    </w:p>
    <w:p>
      <w:pPr>
        <w:numPr>
          <w:ilvl w:val="0"/>
          <w:numId w:val="1001"/>
        </w:numPr>
        <w:pStyle w:val="Compact"/>
      </w:pPr>
      <w:r>
        <w:rPr>
          <w:bCs/>
          <w:b/>
        </w:rPr>
        <w:t xml:space="preserve">Tax Compliance Audit:</w:t>
      </w:r>
      <w:r>
        <w:t xml:space="preserve"> </w:t>
      </w:r>
      <w:r>
        <w:t xml:space="preserve">Verification of corporate income tax filings, withholding tax obligations, and VAT compliance in accordance with the Revenue Code of Thailand, conducted by a licensed</w:t>
      </w:r>
      <w:r>
        <w:t xml:space="preserve"> </w:t>
      </w:r>
      <w:r>
        <w:t xml:space="preserve">Auditor</w:t>
      </w:r>
      <w:r>
        <w:t xml:space="preserve"> </w:t>
      </w:r>
      <w:r>
        <w:t xml:space="preserve">registered with the Thai Revenue Department.</w:t>
      </w:r>
    </w:p>
    <w:p>
      <w:pPr>
        <w:numPr>
          <w:ilvl w:val="0"/>
          <w:numId w:val="1001"/>
        </w:numPr>
        <w:pStyle w:val="Compact"/>
      </w:pPr>
      <w:r>
        <w:rPr>
          <w:bCs/>
          <w:b/>
        </w:rPr>
        <w:t xml:space="preserve">Forensic Audit (Optional Add-on):</w:t>
      </w:r>
      <w:r>
        <w:t xml:space="preserve"> </w:t>
      </w:r>
      <w:r>
        <w:t xml:space="preserve">Investigation of suspected financial irregularities, fraud detection, and asset tracing services available upon written request.</w:t>
      </w:r>
    </w:p>
    <w:p>
      <w:pPr>
        <w:numPr>
          <w:ilvl w:val="0"/>
          <w:numId w:val="1001"/>
        </w:numPr>
        <w:pStyle w:val="Compact"/>
      </w:pPr>
      <w:r>
        <w:rPr>
          <w:bCs/>
          <w:b/>
        </w:rPr>
        <w:t xml:space="preserve">Management Advisory &amp; Reporting:</w:t>
      </w:r>
      <w:r>
        <w:t xml:space="preserve"> </w:t>
      </w:r>
      <w:r>
        <w:t xml:space="preserve">Preparation of a detailed audit report with actionable recommendations, to be presented to the Board of Directors and senior management in Bangkok.</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Duration</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Lead Auditor — Statutory Financial Audit (Senior Partner level, TICPA-licensed)</w:t>
            </w:r>
          </w:p>
        </w:tc>
        <w:tc>
          <w:tcPr/>
          <w:p>
            <w:pPr>
              <w:pStyle w:val="Compact"/>
              <w:jc w:val="left"/>
            </w:pPr>
            <w:r>
              <w:t xml:space="preserve">15 days</w:t>
            </w:r>
          </w:p>
        </w:tc>
        <w:tc>
          <w:tcPr/>
          <w:p>
            <w:pPr>
              <w:pStyle w:val="Compact"/>
              <w:jc w:val="left"/>
            </w:pPr>
            <w:r>
              <w:t xml:space="preserve">25,000 / day</w:t>
            </w:r>
          </w:p>
        </w:tc>
        <w:tc>
          <w:tcPr/>
          <w:p>
            <w:pPr>
              <w:pStyle w:val="Compact"/>
              <w:jc w:val="left"/>
            </w:pPr>
            <w:r>
              <w:t xml:space="preserve">375,000</w:t>
            </w:r>
          </w:p>
        </w:tc>
      </w:tr>
      <w:tr>
        <w:tc>
          <w:tcPr/>
          <w:p>
            <w:pPr>
              <w:pStyle w:val="Compact"/>
              <w:jc w:val="left"/>
            </w:pPr>
            <w:r>
              <w:t xml:space="preserve">02</w:t>
            </w:r>
          </w:p>
        </w:tc>
        <w:tc>
          <w:tcPr/>
          <w:p>
            <w:pPr>
              <w:pStyle w:val="Compact"/>
              <w:jc w:val="left"/>
            </w:pPr>
            <w:r>
              <w:t xml:space="preserve">Assistant Auditor Team (2 professionals) — Fieldwork &amp; Documentation</w:t>
            </w:r>
          </w:p>
        </w:tc>
        <w:tc>
          <w:tcPr/>
          <w:p>
            <w:pPr>
              <w:pStyle w:val="Compact"/>
              <w:jc w:val="left"/>
            </w:pPr>
            <w:r>
              <w:t xml:space="preserve">20 days</w:t>
            </w:r>
          </w:p>
        </w:tc>
        <w:tc>
          <w:tcPr/>
          <w:p>
            <w:pPr>
              <w:pStyle w:val="Compact"/>
              <w:jc w:val="left"/>
            </w:pPr>
            <w:r>
              <w:t xml:space="preserve">12,000 / day / person</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Internal Audit &amp; Risk Assessment — Bangkok Office Operations</w:t>
            </w:r>
          </w:p>
        </w:tc>
        <w:tc>
          <w:tcPr/>
          <w:p>
            <w:pPr>
              <w:pStyle w:val="Compact"/>
              <w:jc w:val="left"/>
            </w:pPr>
            <w:r>
              <w:t xml:space="preserve">10 days</w:t>
            </w:r>
          </w:p>
        </w:tc>
        <w:tc>
          <w:tcPr/>
          <w:p>
            <w:pPr>
              <w:pStyle w:val="Compact"/>
              <w:jc w:val="left"/>
            </w:pPr>
            <w:r>
              <w:t xml:space="preserve">18,000 / day</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Tax Compliance Audit — Revenue Department Liaison</w:t>
            </w:r>
          </w:p>
        </w:tc>
        <w:tc>
          <w:tcPr/>
          <w:p>
            <w:pPr>
              <w:pStyle w:val="Compact"/>
              <w:jc w:val="left"/>
            </w:pPr>
            <w:r>
              <w:t xml:space="preserve">7 days</w:t>
            </w:r>
          </w:p>
        </w:tc>
        <w:tc>
          <w:tcPr/>
          <w:p>
            <w:pPr>
              <w:pStyle w:val="Compact"/>
              <w:jc w:val="left"/>
            </w:pPr>
            <w:r>
              <w:t xml:space="preserve">15,000 / day</w:t>
            </w:r>
          </w:p>
        </w:tc>
        <w:tc>
          <w:tcPr/>
          <w:p>
            <w:pPr>
              <w:pStyle w:val="Compact"/>
              <w:jc w:val="left"/>
            </w:pPr>
            <w:r>
              <w:t xml:space="preserve">105,000</w:t>
            </w:r>
          </w:p>
        </w:tc>
      </w:tr>
      <w:tr>
        <w:tc>
          <w:tcPr/>
          <w:p>
            <w:pPr>
              <w:pStyle w:val="Compact"/>
              <w:jc w:val="left"/>
            </w:pPr>
            <w:r>
              <w:t xml:space="preserve">05</w:t>
            </w:r>
          </w:p>
        </w:tc>
        <w:tc>
          <w:tcPr/>
          <w:p>
            <w:pPr>
              <w:pStyle w:val="Compact"/>
              <w:jc w:val="left"/>
            </w:pPr>
            <w:r>
              <w:t xml:space="preserve">Final Audit Report, Management Letter &amp; Board Presentation</w:t>
            </w:r>
          </w:p>
        </w:tc>
        <w:tc>
          <w:tcPr/>
          <w:p>
            <w:pPr>
              <w:pStyle w:val="Compact"/>
              <w:jc w:val="left"/>
            </w:pPr>
            <w:r>
              <w:t xml:space="preserve">5 days</w:t>
            </w:r>
          </w:p>
        </w:tc>
        <w:tc>
          <w:tcPr/>
          <w:p>
            <w:pPr>
              <w:pStyle w:val="Compact"/>
              <w:jc w:val="left"/>
            </w:pPr>
            <w:r>
              <w:t xml:space="preserve">20,000 / day</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Travel, Accommodation &amp; Local Transportation within Thailand Bangkok</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45,000</w:t>
            </w:r>
          </w:p>
        </w:tc>
      </w:tr>
      <w:tr>
        <w:tc>
          <w:tcPr>
            <w:gridSpan w:val="4"/>
          </w:tcPr>
          <w:p>
            <w:pPr>
              <w:pStyle w:val="Compact"/>
              <w:jc w:val="left"/>
            </w:pPr>
            <w:r>
              <w:t xml:space="preserve">Subtotal (Excluding VAT)</w:t>
            </w:r>
          </w:p>
        </w:tc>
        <w:tc>
          <w:tcPr/>
          <w:p>
            <w:pPr>
              <w:pStyle w:val="Compact"/>
              <w:jc w:val="left"/>
            </w:pPr>
            <w:r>
              <w:t xml:space="preserve">1,285,000</w:t>
            </w:r>
          </w:p>
        </w:tc>
      </w:tr>
      <w:tr>
        <w:tc>
          <w:tcPr>
            <w:gridSpan w:val="4"/>
          </w:tcPr>
          <w:p>
            <w:pPr>
              <w:pStyle w:val="Compact"/>
              <w:jc w:val="left"/>
            </w:pPr>
            <w:r>
              <w:t xml:space="preserve">VAT @ 7%</w:t>
            </w:r>
          </w:p>
        </w:tc>
        <w:tc>
          <w:tcPr/>
          <w:p>
            <w:pPr>
              <w:pStyle w:val="Compact"/>
              <w:jc w:val="left"/>
            </w:pPr>
            <w:r>
              <w:t xml:space="preserve">89,950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1,374,950</w:t>
            </w:r>
          </w:p>
        </w:tc>
      </w:tr>
    </w:tbl>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shall remain valid for a period of thirty (30) calendar days from the date of issue. Beyond this period, the</w:t>
      </w:r>
      <w:r>
        <w:t xml:space="preserve"> </w:t>
      </w:r>
      <w:r>
        <w:t xml:space="preserve">Auditor</w:t>
      </w:r>
      <w:r>
        <w:t xml:space="preserve"> </w:t>
      </w:r>
      <w:r>
        <w:t xml:space="preserve">service rates may be subject to revision based on market conditions in</w:t>
      </w:r>
      <w:r>
        <w:t xml:space="preserve"> </w:t>
      </w:r>
      <w:r>
        <w:t xml:space="preserve">Thailand Bangkok</w:t>
      </w:r>
      <w:r>
        <w:t xml:space="preserve">.</w:t>
      </w:r>
    </w:p>
    <w:p>
      <w:pPr>
        <w:pStyle w:val="BodyText"/>
      </w:pPr>
      <w:r>
        <w:rPr>
          <w:bCs/>
          <w:b/>
        </w:rPr>
        <w:t xml:space="preserve">4.2 Payment Terms:</w:t>
      </w:r>
      <w:r>
        <w:t xml:space="preserve"> </w:t>
      </w:r>
      <w:r>
        <w:t xml:space="preserve">A deposit of 40% of the total</w:t>
      </w:r>
      <w:r>
        <w:t xml:space="preserve"> </w:t>
      </w:r>
      <w:r>
        <w:t xml:space="preserve">Quotation Estimate</w:t>
      </w:r>
      <w:r>
        <w:t xml:space="preserve"> </w:t>
      </w:r>
      <w:r>
        <w:t xml:space="preserve">amount is due upon acceptance. The remaining 60% shall be payable within fourteen (14) days of the delivery of the final</w:t>
      </w:r>
      <w:r>
        <w:t xml:space="preserve"> </w:t>
      </w:r>
      <w:r>
        <w:t xml:space="preserve">Auditor</w:t>
      </w:r>
      <w:r>
        <w:t xml:space="preserve"> </w:t>
      </w:r>
      <w:r>
        <w:t xml:space="preserve">report. All payments shall be made via bank transfer to the account designated by Meridian Audit &amp; Advisory Group Co., Ltd., Bangkok, Thailand.</w:t>
      </w:r>
    </w:p>
    <w:p>
      <w:pPr>
        <w:pStyle w:val="BodyText"/>
      </w:pPr>
      <w:r>
        <w:rPr>
          <w:bCs/>
          <w:b/>
        </w:rPr>
        <w:t xml:space="preserve">4.3 Confidentiality:</w:t>
      </w:r>
      <w:r>
        <w:t xml:space="preserve"> </w:t>
      </w:r>
      <w:r>
        <w:t xml:space="preserve">The</w:t>
      </w:r>
      <w:r>
        <w:t xml:space="preserve"> </w:t>
      </w:r>
      <w:r>
        <w:t xml:space="preserve">Auditor</w:t>
      </w:r>
      <w:r>
        <w:t xml:space="preserve"> </w:t>
      </w:r>
      <w:r>
        <w:t xml:space="preserve">and all supporting team members shall adhere to strict confidentiality obligations as stipulated under the Thai Civil and Commercial Code and the professional ethics code of the Thai Institute of Certified Public Accountants. No client data obtained during the engagement in</w:t>
      </w:r>
      <w:r>
        <w:t xml:space="preserve"> </w:t>
      </w:r>
      <w:r>
        <w:t xml:space="preserve">Thailand Bangkok</w:t>
      </w:r>
      <w:r>
        <w:t xml:space="preserve"> </w:t>
      </w:r>
      <w:r>
        <w:t xml:space="preserve">shall be disclosed to any third party without written consent.</w:t>
      </w:r>
    </w:p>
    <w:p>
      <w:pPr>
        <w:pStyle w:val="BodyText"/>
      </w:pPr>
      <w:r>
        <w:rPr>
          <w:bCs/>
          <w:b/>
        </w:rPr>
        <w:t xml:space="preserve">4.4 Scope Changes:</w:t>
      </w:r>
      <w:r>
        <w:t xml:space="preserve"> </w:t>
      </w:r>
      <w:r>
        <w:t xml:space="preserve">Any modification to the scope of</w:t>
      </w:r>
      <w:r>
        <w:t xml:space="preserve"> </w:t>
      </w:r>
      <w:r>
        <w:t xml:space="preserve">Auditor</w:t>
      </w:r>
      <w:r>
        <w:t xml:space="preserve"> </w:t>
      </w:r>
      <w:r>
        <w:t xml:space="preserve">services outlined in this</w:t>
      </w:r>
      <w:r>
        <w:t xml:space="preserve"> </w:t>
      </w:r>
      <w:r>
        <w:t xml:space="preserve">Quotation Estimate</w:t>
      </w:r>
      <w:r>
        <w:t xml:space="preserve"> </w:t>
      </w:r>
      <w:r>
        <w:t xml:space="preserve">must be agreed upon in writing by both parties. Additional work will be billed at the prevailing daily rates specified herein.</w:t>
      </w:r>
    </w:p>
    <w:p>
      <w:pPr>
        <w:pStyle w:val="BodyText"/>
      </w:pPr>
      <w:r>
        <w:rPr>
          <w:bCs/>
          <w:b/>
        </w:rPr>
        <w:t xml:space="preserve">4.5 Dispute Resolution:</w:t>
      </w:r>
      <w:r>
        <w:t xml:space="preserve"> </w:t>
      </w:r>
      <w:r>
        <w:t xml:space="preserve">Any disputes arising from this</w:t>
      </w:r>
      <w:r>
        <w:t xml:space="preserve"> </w:t>
      </w:r>
      <w:r>
        <w:t xml:space="preserve">Quotation Estimate</w:t>
      </w:r>
      <w:r>
        <w:t xml:space="preserve"> </w:t>
      </w:r>
      <w:r>
        <w:t xml:space="preserve">or the subsequent</w:t>
      </w:r>
      <w:r>
        <w:t xml:space="preserve"> </w:t>
      </w:r>
      <w:r>
        <w:t xml:space="preserve">Auditor</w:t>
      </w:r>
      <w:r>
        <w:t xml:space="preserve"> </w:t>
      </w:r>
      <w:r>
        <w:t xml:space="preserve">engagement shall be resolved through mediation in Bangkok, Thailand, in accordance with the rules of the Thai Arbitration Institute.</w:t>
      </w:r>
    </w:p>
    <w:p>
      <w:pPr>
        <w:pStyle w:val="BodyText"/>
      </w:pPr>
      <w:r>
        <w:rPr>
          <w:bCs/>
          <w:b/>
        </w:rPr>
        <w:t xml:space="preserve">4.6 Regulatory Compliance:</w:t>
      </w:r>
      <w:r>
        <w:t xml:space="preserve"> </w:t>
      </w:r>
      <w:r>
        <w:t xml:space="preserve">The</w:t>
      </w:r>
      <w:r>
        <w:t xml:space="preserve"> </w:t>
      </w:r>
      <w:r>
        <w:t xml:space="preserve">Auditor</w:t>
      </w:r>
      <w:r>
        <w:t xml:space="preserve"> </w:t>
      </w:r>
      <w:r>
        <w:t xml:space="preserve">engagement shall be conducted in full compliance with all applicable laws of the Kingdom of Thailand, including but not limited to the Accounting Act, the Revenue Code, and regulations issued by the Securities and Exchange Commission of Thailand (SEC) where applicable.</w:t>
      </w:r>
    </w:p>
    <w:bookmarkEnd w:id="26"/>
    <w:bookmarkStart w:id="29" w:name="acceptance-and-authorization"/>
    <w:p>
      <w:pPr>
        <w:pStyle w:val="Heading2"/>
      </w:pPr>
      <w:r>
        <w:t xml:space="preserve">5. Acceptance and Authorization</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 the</w:t>
      </w:r>
      <w:r>
        <w:t xml:space="preserve"> </w:t>
      </w:r>
      <w:r>
        <w:t xml:space="preserve">Auditor</w:t>
      </w:r>
      <w:r>
        <w:t xml:space="preserve"> </w:t>
      </w:r>
      <w:r>
        <w:t xml:space="preserve">services to be performed in</w:t>
      </w:r>
      <w:r>
        <w:t xml:space="preserve"> </w:t>
      </w:r>
      <w:r>
        <w:t xml:space="preserve">Thailand Bangkok</w:t>
      </w:r>
      <w:r>
        <w:t xml:space="preserve">. This signature constitutes a formal engagement agreement between the parties.</w:t>
      </w:r>
    </w:p>
    <w:bookmarkStart w:id="27" w:name="X4c699ba40a95130cc3ca4bf9f7e6d3389edf682"/>
    <w:p>
      <w:pPr>
        <w:pStyle w:val="Heading4"/>
      </w:pPr>
      <w:r>
        <w:t xml:space="preserve">For Meridian Audit &amp; Advisory Group Co., Ltd.</w:t>
      </w:r>
    </w:p>
    <w:p>
      <w:pPr>
        <w:pStyle w:val="FirstParagraph"/>
      </w:pPr>
      <w:r>
        <w:t xml:space="preserve">Name: ___________________________</w:t>
      </w:r>
      <w:r>
        <w:br/>
      </w:r>
      <w:r>
        <w:t xml:space="preserve">Title: Managing Partner / Lead Auditor</w:t>
      </w:r>
      <w:r>
        <w:br/>
      </w:r>
      <w:r>
        <w:t xml:space="preserve">Date: ___________________________</w:t>
      </w:r>
    </w:p>
    <w:p>
      <w:pPr>
        <w:pStyle w:val="BodyText"/>
      </w:pPr>
      <w:r>
        <w:t xml:space="preserve">Signature &amp; Company Seal</w:t>
      </w:r>
    </w:p>
    <w:bookmarkEnd w:id="27"/>
    <w:bookmarkStart w:id="28" w:name="for-the-client"/>
    <w:p>
      <w:pPr>
        <w:pStyle w:val="Heading4"/>
      </w:pPr>
      <w:r>
        <w:t xml:space="preserve">For the Client</w:t>
      </w:r>
    </w:p>
    <w:p>
      <w:pPr>
        <w:pStyle w:val="FirstParagraph"/>
      </w:pPr>
      <w:r>
        <w:t xml:space="preserve">Name: ___________________________</w:t>
      </w:r>
      <w:r>
        <w:br/>
      </w:r>
      <w:r>
        <w:t xml:space="preserve">Title: ___________________________</w:t>
      </w:r>
      <w:r>
        <w:br/>
      </w:r>
      <w:r>
        <w:t xml:space="preserve">Date: ___________________________</w:t>
      </w:r>
    </w:p>
    <w:p>
      <w:pPr>
        <w:pStyle w:val="BodyText"/>
      </w:pPr>
      <w:r>
        <w:t xml:space="preserve">Signature &amp; Company Seal</w:t>
      </w:r>
    </w:p>
    <w:bookmarkEnd w:id="28"/>
    <w:p>
      <w:pPr>
        <w:pStyle w:val="BodyText"/>
      </w:pPr>
      <w:r>
        <w:t xml:space="preserve">This</w:t>
      </w:r>
      <w:r>
        <w:t xml:space="preserve"> </w:t>
      </w:r>
      <w:r>
        <w:t xml:space="preserve">Quotation Estimate</w:t>
      </w:r>
      <w:r>
        <w:t xml:space="preserve"> </w:t>
      </w:r>
      <w:r>
        <w:t xml:space="preserve">(Ref: QTE-2025-BKK-0472) is issued by Meridian Audit &amp; Advisory Group Co., Ltd., Bangkok, Thailand. All</w:t>
      </w:r>
      <w:r>
        <w:t xml:space="preserve"> </w:t>
      </w:r>
      <w:r>
        <w:t xml:space="preserve">Auditor</w:t>
      </w:r>
      <w:r>
        <w:t xml:space="preserve"> </w:t>
      </w:r>
      <w:r>
        <w:t xml:space="preserve">services are subject to the terms stated herein. For inquiries, please contact our Bangkok office at +66 (0) 2 255 8800. © 2025 Meridian Audit &amp; Advisory Group Co., Ltd.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Thailand Bangkok</dc:title>
  <dc:creator/>
  <dc:language>en</dc:language>
  <cp:keywords/>
  <dcterms:created xsi:type="dcterms:W3CDTF">2026-10-10T07:31:01Z</dcterms:created>
  <dcterms:modified xsi:type="dcterms:W3CDTF">2026-10-10T07:31:01Z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