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Auditor Services — Turkey Ankara</w:t>
      </w:r>
    </w:p>
    <w:p>
      <w:pPr>
        <w:pStyle w:val="BodyText"/>
      </w:pPr>
      <w:r>
        <w:t xml:space="preserve">QTE-ANK-2025-0472</w:t>
      </w:r>
    </w:p>
    <w:bookmarkEnd w:id="20"/>
    <w:bookmarkStart w:id="21" w:name="provider"/>
    <w:p>
      <w:pPr>
        <w:pStyle w:val="Heading3"/>
      </w:pPr>
      <w:r>
        <w:t xml:space="preserve">Provider</w:t>
      </w:r>
    </w:p>
    <w:p>
      <w:pPr>
        <w:pStyle w:val="FirstParagraph"/>
      </w:pPr>
      <w:r>
        <w:rPr>
          <w:bCs/>
          <w:b/>
        </w:rPr>
        <w:t xml:space="preserve">Meridian Audit &amp; Advisory Partners LLC</w:t>
      </w:r>
    </w:p>
    <w:p>
      <w:pPr>
        <w:pStyle w:val="BodyText"/>
      </w:pPr>
      <w:r>
        <w:t xml:space="preserve">12th Floor, Kızılay Business Center</w:t>
      </w:r>
    </w:p>
    <w:p>
      <w:pPr>
        <w:pStyle w:val="BodyText"/>
      </w:pPr>
      <w:r>
        <w:t xml:space="preserve">Çankaya, Ankara 06520, Turkey</w:t>
      </w:r>
    </w:p>
    <w:p>
      <w:pPr>
        <w:pStyle w:val="BodyText"/>
      </w:pPr>
      <w:r>
        <w:t xml:space="preserve">Tel: +90 312 445 6789</w:t>
      </w:r>
    </w:p>
    <w:p>
      <w:pPr>
        <w:pStyle w:val="BodyText"/>
      </w:pPr>
      <w:r>
        <w:t xml:space="preserve">Email: quotations@meridianaudit.com.tr</w:t>
      </w:r>
    </w:p>
    <w:p>
      <w:pPr>
        <w:pStyle w:val="BodyText"/>
      </w:pPr>
      <w:r>
        <w:t xml:space="preserve">Tax ID (VKN): 1234567890</w:t>
      </w:r>
    </w:p>
    <w:bookmarkEnd w:id="21"/>
    <w:bookmarkStart w:id="22" w:name="client"/>
    <w:p>
      <w:pPr>
        <w:pStyle w:val="Heading3"/>
      </w:pPr>
      <w:r>
        <w:t xml:space="preserve">Client</w:t>
      </w:r>
    </w:p>
    <w:p>
      <w:pPr>
        <w:pStyle w:val="FirstParagraph"/>
      </w:pPr>
      <w:r>
        <w:rPr>
          <w:bCs/>
          <w:b/>
        </w:rPr>
        <w:t xml:space="preserve">Client Name / Company</w:t>
      </w:r>
    </w:p>
    <w:p>
      <w:pPr>
        <w:pStyle w:val="BodyText"/>
      </w:pPr>
      <w:r>
        <w:t xml:space="preserve">Address in Ankara, Turkey</w:t>
      </w:r>
    </w:p>
    <w:p>
      <w:pPr>
        <w:pStyle w:val="BodyText"/>
      </w:pPr>
      <w:r>
        <w:t xml:space="preserve">Contact Person: ____________________</w:t>
      </w:r>
    </w:p>
    <w:p>
      <w:pPr>
        <w:pStyle w:val="BodyText"/>
      </w:pPr>
      <w:r>
        <w:t xml:space="preserve">Email: ____________________</w:t>
      </w:r>
    </w:p>
    <w:p>
      <w:pPr>
        <w:pStyle w:val="BodyText"/>
      </w:pPr>
      <w:r>
        <w:t xml:space="preserve">Tel: ____________________</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Turkish Lira (TRY) / USD</w:t>
      </w:r>
    </w:p>
    <w:p>
      <w:pPr>
        <w:pStyle w:val="BodyText"/>
      </w:pPr>
      <w:r>
        <w:rPr>
          <w:bCs/>
          <w:b/>
        </w:rPr>
        <w:t xml:space="preserve">Payment Terms:</w:t>
      </w:r>
      <w:r>
        <w:t xml:space="preserve"> </w:t>
      </w:r>
      <w:r>
        <w:t xml:space="preserve">50% advance, 50% upon delivery</w:t>
      </w:r>
    </w:p>
    <w:bookmarkEnd w:id="23"/>
    <w:bookmarkStart w:id="24" w:name="project-reference"/>
    <w:p>
      <w:pPr>
        <w:pStyle w:val="Heading3"/>
      </w:pPr>
      <w:r>
        <w:t xml:space="preserve">Project Reference</w:t>
      </w:r>
    </w:p>
    <w:p>
      <w:pPr>
        <w:pStyle w:val="FirstParagraph"/>
      </w:pPr>
      <w:r>
        <w:rPr>
          <w:bCs/>
          <w:b/>
        </w:rPr>
        <w:t xml:space="preserve">Service Type:</w:t>
      </w:r>
      <w:r>
        <w:t xml:space="preserve"> </w:t>
      </w:r>
      <w:r>
        <w:t xml:space="preserve">Full-Scope Financial Audit</w:t>
      </w:r>
    </w:p>
    <w:p>
      <w:pPr>
        <w:pStyle w:val="BodyText"/>
      </w:pPr>
      <w:r>
        <w:rPr>
          <w:bCs/>
          <w:b/>
        </w:rPr>
        <w:t xml:space="preserve">Location:</w:t>
      </w:r>
      <w:r>
        <w:t xml:space="preserve"> </w:t>
      </w:r>
      <w:r>
        <w:t xml:space="preserve">Turkey Ankara (All Districts)</w:t>
      </w:r>
    </w:p>
    <w:p>
      <w:pPr>
        <w:pStyle w:val="BodyText"/>
      </w:pPr>
      <w:r>
        <w:rPr>
          <w:bCs/>
          <w:b/>
        </w:rPr>
        <w:t xml:space="preserve">Duration:</w:t>
      </w:r>
      <w:r>
        <w:t xml:space="preserve"> </w:t>
      </w:r>
      <w:r>
        <w:t xml:space="preserve">6 weeks (on-site + remote)</w:t>
      </w:r>
    </w:p>
    <w:p>
      <w:pPr>
        <w:pStyle w:val="BodyText"/>
      </w:pPr>
      <w:r>
        <w:rPr>
          <w:bCs/>
          <w:b/>
        </w:rPr>
        <w:t xml:space="preserve">Regulatory Framework:</w:t>
      </w:r>
      <w:r>
        <w:t xml:space="preserve"> </w:t>
      </w:r>
      <w:r>
        <w:t xml:space="preserve">TMS / IFRS / Turkish Commercial Code</w:t>
      </w:r>
    </w:p>
    <w:bookmarkEnd w:id="24"/>
    <w:bookmarkStart w:id="25" w:name="X7d4dcefa07db8e317d169d8cac1cceab2104ee5"/>
    <w:p>
      <w:pPr>
        <w:pStyle w:val="Heading2"/>
      </w:pPr>
      <w:r>
        <w:t xml:space="preserve">1. Scope of Auditor Services in Turkey Ankara</w:t>
      </w:r>
    </w:p>
    <w:p>
      <w:pPr>
        <w:pStyle w:val="FirstParagraph"/>
      </w:pPr>
      <w:r>
        <w:t xml:space="preserve">This Quotation Estimate is issued by Meridian Audit &amp; Advisory Partners LLC to provide a comprehensive, transparent, and itemized cost breakdown for the engagement of a certified Auditor to perform a full-scope financial and operational audit for the client's operations located in Turkey Ankara. The Auditor will be a licensed Certified Public Accountant (Serbest Muhasebeci Mali Müşavir — SMMM) or a member of the Turkish Institute of Certified Public Accountants (TÜRMOB), fully authorized to conduct statutory and voluntary audits in accordance with the Turkish Commercial Code (Türk Ticaret Kanunu) and International Financial Reporting Standards (IFRS) as adopted in Turkey.</w:t>
      </w:r>
    </w:p>
    <w:p>
      <w:pPr>
        <w:pStyle w:val="BodyText"/>
      </w:pPr>
      <w:r>
        <w:t xml:space="preserve">The Auditor will conduct all fieldwork, document review, interviews, and verification procedures primarily at the client's registered office in Ankara, with the possibility of additional site visits to subsidiary locations within the Ankara metropolitan area, including but not limited to Çankaya, Yenimahalle, Keçiören, and Etimesgut districts. All audit procedures will be performed in compliance with the Turkish Standards on Auditing (TMS) and the regulatory requirements set forth by the Capital Markets Board of Turkey (SPK) where applicable.</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Auditor Service</w:t>
            </w:r>
          </w:p>
        </w:tc>
        <w:tc>
          <w:tcPr/>
          <w:p>
            <w:pPr>
              <w:pStyle w:val="Compact"/>
              <w:jc w:val="left"/>
            </w:pPr>
            <w:r>
              <w:t xml:space="preserve">Duration / Qty</w:t>
            </w:r>
          </w:p>
        </w:tc>
        <w:tc>
          <w:tcPr/>
          <w:p>
            <w:pPr>
              <w:pStyle w:val="Compact"/>
              <w:jc w:val="left"/>
            </w:pPr>
            <w:r>
              <w:t xml:space="preserve">Unit Rate (TRY)</w:t>
            </w:r>
          </w:p>
        </w:tc>
        <w:tc>
          <w:tcPr/>
          <w:p>
            <w:pPr>
              <w:pStyle w:val="Compact"/>
              <w:jc w:val="left"/>
            </w:pPr>
            <w:r>
              <w:t xml:space="preserve">Subtotal (TRY)</w:t>
            </w:r>
          </w:p>
        </w:tc>
      </w:tr>
      <w:tr>
        <w:tc>
          <w:tcPr/>
          <w:p>
            <w:pPr>
              <w:pStyle w:val="Compact"/>
              <w:jc w:val="left"/>
            </w:pPr>
            <w:r>
              <w:t xml:space="preserve">1</w:t>
            </w:r>
          </w:p>
        </w:tc>
        <w:tc>
          <w:tcPr/>
          <w:p>
            <w:pPr>
              <w:pStyle w:val="Compact"/>
              <w:jc w:val="left"/>
            </w:pPr>
            <w:r>
              <w:t xml:space="preserve">Pre-audit planning, risk assessment, and scoping meeting in Ankara office</w:t>
            </w:r>
          </w:p>
        </w:tc>
        <w:tc>
          <w:tcPr/>
          <w:p>
            <w:pPr>
              <w:pStyle w:val="Compact"/>
              <w:jc w:val="left"/>
            </w:pPr>
            <w:r>
              <w:t xml:space="preserve">3 days</w:t>
            </w:r>
          </w:p>
        </w:tc>
        <w:tc>
          <w:tcPr/>
          <w:p>
            <w:pPr>
              <w:pStyle w:val="Compact"/>
              <w:jc w:val="left"/>
            </w:pPr>
            <w:r>
              <w:t xml:space="preserve">12,500</w:t>
            </w:r>
          </w:p>
        </w:tc>
        <w:tc>
          <w:tcPr/>
          <w:p>
            <w:pPr>
              <w:pStyle w:val="Compact"/>
              <w:jc w:val="left"/>
            </w:pPr>
            <w:r>
              <w:t xml:space="preserve">37,500</w:t>
            </w:r>
          </w:p>
        </w:tc>
      </w:tr>
      <w:tr>
        <w:tc>
          <w:tcPr/>
          <w:p>
            <w:pPr>
              <w:pStyle w:val="Compact"/>
              <w:jc w:val="left"/>
            </w:pPr>
            <w:r>
              <w:t xml:space="preserve">2</w:t>
            </w:r>
          </w:p>
        </w:tc>
        <w:tc>
          <w:tcPr/>
          <w:p>
            <w:pPr>
              <w:pStyle w:val="Compact"/>
              <w:jc w:val="left"/>
            </w:pPr>
            <w:r>
              <w:t xml:space="preserve">On-site financial statement audit (balance sheet, income statement, cash flow) — Turkey Ankara headquarters</w:t>
            </w:r>
          </w:p>
        </w:tc>
        <w:tc>
          <w:tcPr/>
          <w:p>
            <w:pPr>
              <w:pStyle w:val="Compact"/>
              <w:jc w:val="left"/>
            </w:pPr>
            <w:r>
              <w:t xml:space="preserve">15 days</w:t>
            </w:r>
          </w:p>
        </w:tc>
        <w:tc>
          <w:tcPr/>
          <w:p>
            <w:pPr>
              <w:pStyle w:val="Compact"/>
              <w:jc w:val="left"/>
            </w:pPr>
            <w:r>
              <w:t xml:space="preserve">14,000</w:t>
            </w:r>
          </w:p>
        </w:tc>
        <w:tc>
          <w:tcPr/>
          <w:p>
            <w:pPr>
              <w:pStyle w:val="Compact"/>
              <w:jc w:val="left"/>
            </w:pPr>
            <w:r>
              <w:t xml:space="preserve">210,000</w:t>
            </w:r>
          </w:p>
        </w:tc>
      </w:tr>
      <w:tr>
        <w:tc>
          <w:tcPr/>
          <w:p>
            <w:pPr>
              <w:pStyle w:val="Compact"/>
              <w:jc w:val="left"/>
            </w:pPr>
            <w:r>
              <w:t xml:space="preserve">3</w:t>
            </w:r>
          </w:p>
        </w:tc>
        <w:tc>
          <w:tcPr/>
          <w:p>
            <w:pPr>
              <w:pStyle w:val="Compact"/>
              <w:jc w:val="left"/>
            </w:pPr>
            <w:r>
              <w:t xml:space="preserve">Operational and internal controls audit across Ankara branch offices</w:t>
            </w:r>
          </w:p>
        </w:tc>
        <w:tc>
          <w:tcPr/>
          <w:p>
            <w:pPr>
              <w:pStyle w:val="Compact"/>
              <w:jc w:val="left"/>
            </w:pPr>
            <w:r>
              <w:t xml:space="preserve">10 days</w:t>
            </w:r>
          </w:p>
        </w:tc>
        <w:tc>
          <w:tcPr/>
          <w:p>
            <w:pPr>
              <w:pStyle w:val="Compact"/>
              <w:jc w:val="left"/>
            </w:pPr>
            <w:r>
              <w:t xml:space="preserve">13,500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Tax compliance review (KDV, Kurumlar Vergisi, Damga Vergisi) per Turkish Revenue Administration (GİB) guidelines</w:t>
            </w:r>
          </w:p>
        </w:tc>
        <w:tc>
          <w:tcPr/>
          <w:p>
            <w:pPr>
              <w:pStyle w:val="Compact"/>
              <w:jc w:val="left"/>
            </w:pPr>
            <w:r>
              <w:t xml:space="preserve">5 days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IT systems and data integrity audit (ERP, accounting software verification)</w:t>
            </w:r>
          </w:p>
        </w:tc>
        <w:tc>
          <w:tcPr/>
          <w:p>
            <w:pPr>
              <w:pStyle w:val="Compact"/>
              <w:jc w:val="left"/>
            </w:pPr>
            <w:r>
              <w:t xml:space="preserve">4 days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Draft audit report preparation, management letter, and findings presentation in Ankara</w:t>
            </w:r>
          </w:p>
        </w:tc>
        <w:tc>
          <w:tcPr/>
          <w:p>
            <w:pPr>
              <w:pStyle w:val="Compact"/>
              <w:jc w:val="left"/>
            </w:pPr>
            <w:r>
              <w:t xml:space="preserve">5 days</w:t>
            </w:r>
          </w:p>
        </w:tc>
        <w:tc>
          <w:tcPr/>
          <w:p>
            <w:pPr>
              <w:pStyle w:val="Compact"/>
              <w:jc w:val="left"/>
            </w:pPr>
            <w:r>
              <w:t xml:space="preserve">11,000</w:t>
            </w:r>
          </w:p>
        </w:tc>
        <w:tc>
          <w:tcPr/>
          <w:p>
            <w:pPr>
              <w:pStyle w:val="Compact"/>
              <w:jc w:val="left"/>
            </w:pPr>
            <w:r>
              <w:t xml:space="preserve">55,000</w:t>
            </w:r>
          </w:p>
        </w:tc>
      </w:tr>
      <w:tr>
        <w:tc>
          <w:tcPr/>
          <w:p>
            <w:pPr>
              <w:pStyle w:val="Compact"/>
              <w:jc w:val="left"/>
            </w:pPr>
            <w:r>
              <w:t xml:space="preserve">7</w:t>
            </w:r>
          </w:p>
        </w:tc>
        <w:tc>
          <w:tcPr/>
          <w:p>
            <w:pPr>
              <w:pStyle w:val="Compact"/>
              <w:jc w:val="left"/>
            </w:pPr>
            <w:r>
              <w:t xml:space="preserve">Final audit report, TÜRMOB registration, and statutory filing support</w:t>
            </w:r>
          </w:p>
        </w:tc>
        <w:tc>
          <w:tcPr/>
          <w:p>
            <w:pPr>
              <w:pStyle w:val="Compact"/>
              <w:jc w:val="left"/>
            </w:pPr>
            <w:r>
              <w:t xml:space="preserve">3 days</w:t>
            </w:r>
          </w:p>
        </w:tc>
        <w:tc>
          <w:tcPr/>
          <w:p>
            <w:pPr>
              <w:pStyle w:val="Compact"/>
              <w:jc w:val="left"/>
            </w:pPr>
            <w:r>
              <w:t xml:space="preserve">12,500</w:t>
            </w:r>
          </w:p>
        </w:tc>
        <w:tc>
          <w:tcPr/>
          <w:p>
            <w:pPr>
              <w:pStyle w:val="Compact"/>
              <w:jc w:val="left"/>
            </w:pPr>
            <w:r>
              <w:t xml:space="preserve">37,500</w:t>
            </w:r>
          </w:p>
        </w:tc>
      </w:tr>
      <w:tr>
        <w:tc>
          <w:tcPr/>
          <w:p>
            <w:pPr>
              <w:pStyle w:val="Compact"/>
              <w:jc w:val="left"/>
            </w:pPr>
            <w:r>
              <w:t xml:space="preserve">8</w:t>
            </w:r>
          </w:p>
        </w:tc>
        <w:tc>
          <w:tcPr/>
          <w:p>
            <w:pPr>
              <w:pStyle w:val="Compact"/>
              <w:jc w:val="left"/>
            </w:pPr>
            <w:r>
              <w:t xml:space="preserve">Travel, accommodation, and local transportation within Turkey Ankara metropolitan area</w:t>
            </w:r>
          </w:p>
        </w:tc>
        <w:tc>
          <w:tcPr/>
          <w:p>
            <w:pPr>
              <w:pStyle w:val="Compact"/>
              <w:jc w:val="left"/>
            </w:pPr>
            <w:r>
              <w:t xml:space="preserve">40 days</w:t>
            </w:r>
          </w:p>
        </w:tc>
        <w:tc>
          <w:tcPr/>
          <w:p>
            <w:pPr>
              <w:pStyle w:val="Compact"/>
              <w:jc w:val="left"/>
            </w:pPr>
            <w:r>
              <w:t xml:space="preserve">2,200</w:t>
            </w:r>
          </w:p>
        </w:tc>
        <w:tc>
          <w:tcPr/>
          <w:p>
            <w:pPr>
              <w:pStyle w:val="Compact"/>
              <w:jc w:val="left"/>
            </w:pPr>
            <w:r>
              <w:t xml:space="preserve">88,000</w:t>
            </w:r>
          </w:p>
        </w:tc>
      </w:tr>
      <w:tr>
        <w:tc>
          <w:tcPr/>
          <w:p>
            <w:pPr>
              <w:pStyle w:val="Compact"/>
              <w:jc w:val="left"/>
            </w:pPr>
            <w:r>
              <w:t xml:space="preserve">9</w:t>
            </w:r>
          </w:p>
        </w:tc>
        <w:tc>
          <w:tcPr/>
          <w:p>
            <w:pPr>
              <w:pStyle w:val="Compact"/>
              <w:jc w:val="left"/>
            </w:pPr>
            <w:r>
              <w:t xml:space="preserve">Professional indemnity insurance and TÜRMOB membership fees (annual allocation)</w:t>
            </w:r>
          </w:p>
        </w:tc>
        <w:tc>
          <w:tcPr/>
          <w:p>
            <w:pPr>
              <w:pStyle w:val="Compact"/>
              <w:jc w:val="left"/>
            </w:pPr>
            <w:r>
              <w:t xml:space="preserve">1 period</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right"/>
            </w:pPr>
            <w:r>
              <w:t xml:space="preserve">Subtotal (TRY)</w:t>
            </w:r>
          </w:p>
        </w:tc>
        <w:tc>
          <w:tcPr/>
          <w:p>
            <w:pPr>
              <w:pStyle w:val="Compact"/>
              <w:jc w:val="left"/>
            </w:pPr>
            <w:r>
              <w:t xml:space="preserve">701,000</w:t>
            </w:r>
          </w:p>
        </w:tc>
      </w:tr>
      <w:tr>
        <w:tc>
          <w:tcPr>
            <w:gridSpan w:val="4"/>
          </w:tcPr>
          <w:p>
            <w:pPr>
              <w:pStyle w:val="Compact"/>
              <w:jc w:val="right"/>
            </w:pPr>
            <w:r>
              <w:t xml:space="preserve">KDV (VAT) — 20%</w:t>
            </w:r>
          </w:p>
        </w:tc>
        <w:tc>
          <w:tcPr/>
          <w:p>
            <w:pPr>
              <w:pStyle w:val="Compact"/>
              <w:jc w:val="left"/>
            </w:pPr>
            <w:r>
              <w:t xml:space="preserve">140,200</w:t>
            </w:r>
          </w:p>
        </w:tc>
      </w:tr>
      <w:tr>
        <w:tc>
          <w:tcPr>
            <w:gridSpan w:val="4"/>
          </w:tcPr>
          <w:p>
            <w:pPr>
              <w:pStyle w:val="Compact"/>
              <w:jc w:val="right"/>
            </w:pPr>
            <w:r>
              <w:t xml:space="preserve">TOTAL AMOUNT (TRY)</w:t>
            </w:r>
          </w:p>
        </w:tc>
        <w:tc>
          <w:tcPr/>
          <w:p>
            <w:pPr>
              <w:pStyle w:val="Compact"/>
              <w:jc w:val="left"/>
            </w:pPr>
            <w:r>
              <w:t xml:space="preserve">841,200</w:t>
            </w:r>
          </w:p>
        </w:tc>
      </w:tr>
      <w:tr>
        <w:tc>
          <w:tcPr>
            <w:gridSpan w:val="4"/>
          </w:tcPr>
          <w:p>
            <w:pPr>
              <w:pStyle w:val="Compact"/>
              <w:jc w:val="right"/>
            </w:pPr>
            <w:r>
              <w:t xml:space="preserve">TOTAL AMOUNT (USD, approx. at 32.50/USD)</w:t>
            </w:r>
          </w:p>
        </w:tc>
        <w:tc>
          <w:tcPr/>
          <w:p>
            <w:pPr>
              <w:pStyle w:val="Compact"/>
              <w:jc w:val="left"/>
            </w:pPr>
            <w:r>
              <w:t xml:space="preserve">≈ 25,883</w:t>
            </w:r>
          </w:p>
        </w:tc>
      </w:tr>
    </w:tbl>
    <w:bookmarkEnd w:id="26"/>
    <w:bookmarkStart w:id="27" w:name="X9db3f5d8f0e3825a73ca407a4d73b21ade4c292"/>
    <w:p>
      <w:pPr>
        <w:pStyle w:val="Heading2"/>
      </w:pPr>
      <w:r>
        <w:t xml:space="preserve">3. Auditor Qualifications and Engagement Terms</w:t>
      </w:r>
    </w:p>
    <w:p>
      <w:pPr>
        <w:pStyle w:val="FirstParagraph"/>
      </w:pPr>
      <w:r>
        <w:t xml:space="preserve">The Auditor assigned to this engagement in Turkey Ankara shall hold a minimum of ten (10) years of post-licensure experience in statutory and operational auditing within the Turkish corporate sector. The Auditor must be a registered member of TÜRMOB and hold a valid SMMM or YMM (Yeminli Mali Müşavir) license. The Auditor will operate under the direct supervision of a Senior Partner at Meridian Audit &amp; Advisory Partners LLC and will adhere to the independence and ethical standards prescribed by the International Ethics Standards Board for Accountants (IESBA) Code of Ethics as applied in Turkey.</w:t>
      </w:r>
    </w:p>
    <w:p>
      <w:pPr>
        <w:pStyle w:val="BodyText"/>
      </w:pPr>
      <w:r>
        <w:t xml:space="preserve">All deliverables, including the final audit opinion, management letter, and any supplementary schedules, will be provided in both Turkish and English. The Auditor will conduct all on-site procedures at the client's premises in Ankara during standard business hours (09:00–18:00, Monday through Friday) unless otherwise agreed in writing.</w:t>
      </w:r>
    </w:p>
    <w:bookmarkEnd w:id="27"/>
    <w:bookmarkStart w:id="28"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rates and availability must be reconfirmed in writing.</w:t>
      </w:r>
    </w:p>
    <w:p>
      <w:pPr>
        <w:numPr>
          <w:ilvl w:val="0"/>
          <w:numId w:val="1001"/>
        </w:numPr>
        <w:pStyle w:val="Compact"/>
      </w:pPr>
      <w:r>
        <w:rPr>
          <w:bCs/>
          <w:b/>
        </w:rPr>
        <w:t xml:space="preserve">Payment Schedule:</w:t>
      </w:r>
      <w:r>
        <w:t xml:space="preserve"> </w:t>
      </w:r>
      <w:r>
        <w:t xml:space="preserve">Fifty percent (50%) of the total amount shall be paid as an advance upon acceptance of this Quotation Estimate. The remaining fifty percent (50%) shall be due within fifteen (15) business days of delivery of the final audit report.</w:t>
      </w:r>
    </w:p>
    <w:p>
      <w:pPr>
        <w:numPr>
          <w:ilvl w:val="0"/>
          <w:numId w:val="1001"/>
        </w:numPr>
        <w:pStyle w:val="Compact"/>
      </w:pPr>
      <w:r>
        <w:rPr>
          <w:bCs/>
          <w:b/>
        </w:rPr>
        <w:t xml:space="preserve">Scope Changes:</w:t>
      </w:r>
      <w:r>
        <w:t xml:space="preserve"> </w:t>
      </w:r>
      <w:r>
        <w:t xml:space="preserve">Any additional audit procedures, extended fieldwork, or changes in the scope of the Auditor's engagement beyond what is described herein will be subject to a separate written amendment and additional charges at the rates specified in this Quotation Estimate.</w:t>
      </w:r>
    </w:p>
    <w:p>
      <w:pPr>
        <w:numPr>
          <w:ilvl w:val="0"/>
          <w:numId w:val="1001"/>
        </w:numPr>
        <w:pStyle w:val="Compact"/>
      </w:pPr>
      <w:r>
        <w:rPr>
          <w:bCs/>
          <w:b/>
        </w:rPr>
        <w:t xml:space="preserve">Confidentiality:</w:t>
      </w:r>
      <w:r>
        <w:t xml:space="preserve"> </w:t>
      </w:r>
      <w:r>
        <w:t xml:space="preserve">The Auditor and all supporting staff are bound by a strict non-disclosure agreement. All financial records, internal documents, and proprietary data accessed during the audit in Turkey Ankara shall be treated as confidential and shall not be disclosed to any third party without the client's written consent.</w:t>
      </w:r>
    </w:p>
    <w:p>
      <w:pPr>
        <w:numPr>
          <w:ilvl w:val="0"/>
          <w:numId w:val="1001"/>
        </w:numPr>
        <w:pStyle w:val="Compact"/>
      </w:pPr>
      <w:r>
        <w:rPr>
          <w:bCs/>
          <w:b/>
        </w:rPr>
        <w:t xml:space="preserve">Liability:</w:t>
      </w:r>
      <w:r>
        <w:t xml:space="preserve"> </w:t>
      </w:r>
      <w:r>
        <w:t xml:space="preserve">The Auditor's liability under this engagement is limited to the total fees paid under this Quotation Estimate. The Auditor shall not be liable for consequential, indirect, or punitive damages arising from the audit opinion or any findings reported.</w:t>
      </w:r>
    </w:p>
    <w:p>
      <w:pPr>
        <w:numPr>
          <w:ilvl w:val="0"/>
          <w:numId w:val="1001"/>
        </w:numPr>
        <w:pStyle w:val="Compact"/>
      </w:pPr>
      <w:r>
        <w:rPr>
          <w:bCs/>
          <w:b/>
        </w:rPr>
        <w:t xml:space="preserve">Governing Law:</w:t>
      </w:r>
      <w:r>
        <w:t xml:space="preserve"> </w:t>
      </w:r>
      <w:r>
        <w:t xml:space="preserve">This Quotation Estimate and the resulting engagement shall be governed by and construed in accordance with the laws of the Republic of Turkey. Any disputes shall be resolved by the competent courts in Ankara, Turkey.</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government-mandated closures, or regulatory changes in Turkey.</w:t>
      </w:r>
    </w:p>
    <w:bookmarkEnd w:id="28"/>
    <w:bookmarkStart w:id="29" w:name="acceptance-and-authorization"/>
    <w:p>
      <w:pPr>
        <w:pStyle w:val="Heading2"/>
      </w:pPr>
      <w:r>
        <w:t xml:space="preserve">5. Acceptance and Authorization</w:t>
      </w:r>
    </w:p>
    <w:p>
      <w:pPr>
        <w:pStyle w:val="FirstParagraph"/>
      </w:pPr>
      <w:r>
        <w:t xml:space="preserve">By signing below, the client acknowledges that this Quotation Estimate accurately reflects the scope, cost, and terms of the Auditor engagement in Turkey Ankara. The client agrees to the payment schedule, confidentiality obligations, and all conditions set forth in this document. Upon countersignature by both parties, this Quotation Estimate shall constitute a binding service agreement for the Auditor engagement described herein.</w:t>
      </w:r>
    </w:p>
    <w:p>
      <w:pPr>
        <w:pStyle w:val="BodyText"/>
      </w:pPr>
      <w:r>
        <w:rPr>
          <w:bCs/>
          <w:b/>
        </w:rPr>
        <w:t xml:space="preserve">For Meridian Audit &amp; Advisory Partners LLC</w:t>
      </w:r>
    </w:p>
    <w:p>
      <w:pPr>
        <w:pStyle w:val="BodyText"/>
      </w:pPr>
      <w:r>
        <w:t xml:space="preserve">Authorized Signatory</w:t>
      </w:r>
    </w:p>
    <w:p>
      <w:pPr>
        <w:pStyle w:val="BodyText"/>
      </w:pPr>
      <w:r>
        <w:t xml:space="preserve">Name / Title / Date / Stamp</w:t>
      </w:r>
    </w:p>
    <w:p>
      <w:pPr>
        <w:pStyle w:val="BodyText"/>
      </w:pPr>
      <w:r>
        <w:rPr>
          <w:bCs/>
          <w:b/>
        </w:rPr>
        <w:t xml:space="preserve">For the Client</w:t>
      </w:r>
    </w:p>
    <w:p>
      <w:pPr>
        <w:pStyle w:val="BodyText"/>
      </w:pPr>
      <w:r>
        <w:t xml:space="preserve">Authorized Signatory</w:t>
      </w:r>
    </w:p>
    <w:p>
      <w:pPr>
        <w:pStyle w:val="BodyText"/>
      </w:pPr>
      <w:r>
        <w:t xml:space="preserve">Name / Title / Date / Stamp</w:t>
      </w:r>
    </w:p>
    <w:p>
      <w:pPr>
        <w:pStyle w:val="BodyText"/>
      </w:pPr>
      <w:r>
        <w:rPr>
          <w:bCs/>
          <w:b/>
        </w:rPr>
        <w:t xml:space="preserve">Important Note:</w:t>
      </w:r>
      <w:r>
        <w:t xml:space="preserve"> </w:t>
      </w:r>
      <w:r>
        <w:t xml:space="preserve">This Quotation Estimate is prepared exclusively for the client named above and for the Auditor engagement in Turkey Ankara as described. It may not be reproduced, distributed, or relied upon by any third party without the prior written consent of Meridian Audit &amp; Advisory Partners LLC. All rates are inclusive of the Auditor's professional fees but exclusive of any third-party costs (e.g., external legal opinions, specialist valuations) unless explicitly stated. This document is issued in two (2) original copies, one for each party.</w:t>
      </w:r>
    </w:p>
    <w:p>
      <w:pPr>
        <w:pStyle w:val="BodyText"/>
      </w:pPr>
      <w:r>
        <w:t xml:space="preserve">© 2025 Meridian Audit &amp; Advisory Partners LLC — Ankara, Turkey.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Turkey Ankara</dc:title>
  <dc:creator/>
  <dc:language>en</dc:language>
  <cp:keywords/>
  <dcterms:created xsi:type="dcterms:W3CDTF">2026-10-10T02:09:45Z</dcterms:created>
  <dcterms:modified xsi:type="dcterms:W3CDTF">2026-10-10T02:09:45Z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