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Turkey</w:t>
      </w:r>
      <w:r>
        <w:t xml:space="preserve"> </w:t>
      </w:r>
      <w:r>
        <w:t xml:space="preserve">Istanbul</w:t>
      </w:r>
    </w:p>
    <w:bookmarkStart w:id="20" w:name="quotation-estimate"/>
    <w:p>
      <w:pPr>
        <w:pStyle w:val="Heading1"/>
      </w:pPr>
      <w:r>
        <w:t xml:space="preserve">Quotation Estimate</w:t>
      </w:r>
    </w:p>
    <w:p>
      <w:pPr>
        <w:pStyle w:val="FirstParagraph"/>
      </w:pPr>
      <w:r>
        <w:t xml:space="preserve">Professional Auditor Services – Turkey Istanbul</w:t>
      </w:r>
    </w:p>
    <w:p>
      <w:pPr>
        <w:pStyle w:val="BodyText"/>
      </w:pPr>
      <w:r>
        <w:t xml:space="preserve">Prepared by: Meridian Audit &amp; Advisory Partners LLC</w:t>
      </w:r>
    </w:p>
    <w:p>
      <w:pPr>
        <w:pStyle w:val="BodyText"/>
      </w:pPr>
      <w:r>
        <w:t xml:space="preserve">Address: Levent Business District, Büyükdere Caddesi No. 178, 34394 Istanbul, Turkey</w:t>
      </w:r>
    </w:p>
    <w:p>
      <w:pPr>
        <w:pStyle w:val="BodyText"/>
      </w:pPr>
      <w:r>
        <w:t xml:space="preserve">Tax ID (VKN): 1234567890 | MERSIS: 12345678901234</w:t>
      </w:r>
    </w:p>
    <w:bookmarkEnd w:id="20"/>
    <w:p>
      <w:pPr>
        <w:pStyle w:val="BodyText"/>
      </w:pPr>
      <w:r>
        <w:rPr>
          <w:bCs/>
          <w:b/>
        </w:rPr>
        <w:t xml:space="preserve">Quotation No.:</w:t>
      </w:r>
      <w:r>
        <w:t xml:space="preserve"> </w:t>
      </w:r>
      <w:r>
        <w:t xml:space="preserve">QTE-2025-IST-0472</w:t>
      </w:r>
    </w:p>
    <w:p>
      <w:pPr>
        <w:pStyle w:val="BodyText"/>
      </w:pPr>
      <w:r>
        <w:rPr>
          <w:bCs/>
          <w:b/>
        </w:rPr>
        <w:t xml:space="preserve">Date of Issue:</w:t>
      </w:r>
      <w:r>
        <w:t xml:space="preserve"> </w:t>
      </w:r>
      <w:r>
        <w:t xml:space="preserve">15 June 2025</w:t>
      </w:r>
    </w:p>
    <w:p>
      <w:pPr>
        <w:pStyle w:val="BodyText"/>
      </w:pPr>
      <w:r>
        <w:rPr>
          <w:bCs/>
          <w:b/>
        </w:rPr>
        <w:t xml:space="preserve">Validity Period:</w:t>
      </w:r>
      <w:r>
        <w:t xml:space="preserve"> </w:t>
      </w:r>
      <w:r>
        <w:t xml:space="preserve">30 days from issue date</w:t>
      </w:r>
    </w:p>
    <w:p>
      <w:pPr>
        <w:pStyle w:val="BodyText"/>
      </w:pPr>
      <w:r>
        <w:rPr>
          <w:bCs/>
          <w:b/>
        </w:rPr>
        <w:t xml:space="preserve">Service Location:</w:t>
      </w:r>
      <w:r>
        <w:t xml:space="preserve"> </w:t>
      </w:r>
      <w:r>
        <w:t xml:space="preserve">Turkey Istanbul</w:t>
      </w:r>
    </w:p>
    <w:p>
      <w:pPr>
        <w:pStyle w:val="BodyText"/>
      </w:pPr>
      <w:r>
        <w:rPr>
          <w:bCs/>
          <w:b/>
        </w:rPr>
        <w:t xml:space="preserve">Service Category:</w:t>
      </w:r>
      <w:r>
        <w:t xml:space="preserve"> </w:t>
      </w:r>
      <w:r>
        <w:t xml:space="preserve">Auditor Engagement</w:t>
      </w:r>
    </w:p>
    <w:p>
      <w:pPr>
        <w:pStyle w:val="BodyText"/>
      </w:pPr>
      <w:r>
        <w:rPr>
          <w:bCs/>
          <w:b/>
        </w:rPr>
        <w:t xml:space="preserve">Currency:</w:t>
      </w:r>
      <w:r>
        <w:t xml:space="preserve"> </w:t>
      </w:r>
      <w:r>
        <w:t xml:space="preserve">Turkish Lira (TRY) / USD</w:t>
      </w:r>
    </w:p>
    <w:p>
      <w:pPr>
        <w:pStyle w:val="BodyText"/>
      </w:pPr>
      <w:r>
        <w:t xml:space="preserve">1. Client &amp; Engagement Information</w:t>
      </w:r>
    </w:p>
    <w:bookmarkStart w:id="21" w:name="client-details"/>
    <w:p>
      <w:pPr>
        <w:pStyle w:val="Heading3"/>
      </w:pPr>
      <w:r>
        <w:t xml:space="preserve">Client Details</w:t>
      </w:r>
    </w:p>
    <w:p>
      <w:pPr>
        <w:pStyle w:val="FirstParagraph"/>
      </w:pPr>
      <w:r>
        <w:rPr>
          <w:bCs/>
          <w:b/>
        </w:rPr>
        <w:t xml:space="preserve">Company Name:</w:t>
      </w:r>
      <w:r>
        <w:t xml:space="preserve"> </w:t>
      </w:r>
      <w:r>
        <w:t xml:space="preserve">Anatolia Manufacturing &amp; Trade A.Ş.</w:t>
      </w:r>
    </w:p>
    <w:p>
      <w:pPr>
        <w:pStyle w:val="BodyText"/>
      </w:pPr>
      <w:r>
        <w:rPr>
          <w:bCs/>
          <w:b/>
        </w:rPr>
        <w:t xml:space="preserve">Address:</w:t>
      </w:r>
      <w:r>
        <w:t xml:space="preserve"> </w:t>
      </w:r>
      <w:r>
        <w:t xml:space="preserve">Maslak Corporate Park, 34450 Istanbul, Turkey</w:t>
      </w:r>
    </w:p>
    <w:p>
      <w:pPr>
        <w:pStyle w:val="BodyText"/>
      </w:pPr>
      <w:r>
        <w:rPr>
          <w:bCs/>
          <w:b/>
        </w:rPr>
        <w:t xml:space="preserve">Contact Person:</w:t>
      </w:r>
      <w:r>
        <w:t xml:space="preserve"> </w:t>
      </w:r>
      <w:r>
        <w:t xml:space="preserve">Mr. Emre Kaya, CFO</w:t>
      </w:r>
    </w:p>
    <w:p>
      <w:pPr>
        <w:pStyle w:val="BodyText"/>
      </w:pPr>
      <w:r>
        <w:rPr>
          <w:bCs/>
          <w:b/>
        </w:rPr>
        <w:t xml:space="preserve">Email:</w:t>
      </w:r>
      <w:r>
        <w:t xml:space="preserve"> </w:t>
      </w:r>
      <w:r>
        <w:t xml:space="preserve">e.kaya@anatolia-tr.com</w:t>
      </w:r>
    </w:p>
    <w:bookmarkEnd w:id="21"/>
    <w:bookmarkStart w:id="22" w:name="engagement-details"/>
    <w:p>
      <w:pPr>
        <w:pStyle w:val="Heading3"/>
      </w:pPr>
      <w:r>
        <w:t xml:space="preserve">Engagement Details</w:t>
      </w:r>
    </w:p>
    <w:p>
      <w:pPr>
        <w:pStyle w:val="FirstParagraph"/>
      </w:pPr>
      <w:r>
        <w:rPr>
          <w:bCs/>
          <w:b/>
        </w:rPr>
        <w:t xml:space="preserve">Engagement Type:</w:t>
      </w:r>
      <w:r>
        <w:t xml:space="preserve"> </w:t>
      </w:r>
      <w:r>
        <w:t xml:space="preserve">Annual Financial Audit</w:t>
      </w:r>
    </w:p>
    <w:p>
      <w:pPr>
        <w:pStyle w:val="BodyText"/>
      </w:pPr>
      <w:r>
        <w:rPr>
          <w:bCs/>
          <w:b/>
        </w:rPr>
        <w:t xml:space="preserve">Auditor Lead:</w:t>
      </w:r>
      <w:r>
        <w:t xml:space="preserve"> </w:t>
      </w:r>
      <w:r>
        <w:t xml:space="preserve">Serhat Demirel, CPA (TÜRMOB Member)</w:t>
      </w:r>
    </w:p>
    <w:p>
      <w:pPr>
        <w:pStyle w:val="BodyText"/>
      </w:pPr>
      <w:r>
        <w:rPr>
          <w:bCs/>
          <w:b/>
        </w:rPr>
        <w:t xml:space="preserve">Reporting Period:</w:t>
      </w:r>
      <w:r>
        <w:t xml:space="preserve"> </w:t>
      </w:r>
      <w:r>
        <w:t xml:space="preserve">01 Jan 2025 – 31 Dec 2025</w:t>
      </w:r>
    </w:p>
    <w:p>
      <w:pPr>
        <w:pStyle w:val="BodyText"/>
      </w:pPr>
      <w:r>
        <w:rPr>
          <w:bCs/>
          <w:b/>
        </w:rPr>
        <w:t xml:space="preserve">Standards:</w:t>
      </w:r>
      <w:r>
        <w:t xml:space="preserve"> </w:t>
      </w:r>
      <w:r>
        <w:t xml:space="preserve">TMS / IFRS, Turkish Commercial Code (TTK)</w:t>
      </w:r>
    </w:p>
    <w:bookmarkEnd w:id="22"/>
    <w:p>
      <w:pPr>
        <w:pStyle w:val="BodyText"/>
      </w:pPr>
      <w:r>
        <w:t xml:space="preserve">2. Scope of Auditor Services – Turkey Istanbul</w:t>
      </w:r>
    </w:p>
    <w:p>
      <w:pPr>
        <w:pStyle w:val="BodyText"/>
      </w:pPr>
      <w:r>
        <w:t xml:space="preserve">This</w:t>
      </w:r>
      <w:r>
        <w:t xml:space="preserve"> </w:t>
      </w:r>
      <w:r>
        <w:t xml:space="preserve">Quotation Estimate</w:t>
      </w:r>
      <w:r>
        <w:t xml:space="preserve"> </w:t>
      </w:r>
      <w:r>
        <w:t xml:space="preserve">outlines the comprehensive scope of</w:t>
      </w:r>
      <w:r>
        <w:t xml:space="preserve"> </w:t>
      </w:r>
      <w:r>
        <w:t xml:space="preserve">Auditor</w:t>
      </w:r>
      <w:r>
        <w:t xml:space="preserve"> </w:t>
      </w:r>
      <w:r>
        <w:t xml:space="preserve">services to be delivered by our firm in</w:t>
      </w:r>
      <w:r>
        <w:t xml:space="preserve"> </w:t>
      </w:r>
      <w:r>
        <w:t xml:space="preserve">Turkey Istanbul</w:t>
      </w:r>
      <w:r>
        <w:t xml:space="preserve">. The engagement is designed to comply with the requirements of the Turkish Commercial Code (Law No. 6102), the Capital Markets Board of Turkey (SPK) regulations where applicable, and International Standards on Auditing (ISA) as adopted by TÜRMOB. Our</w:t>
      </w:r>
      <w:r>
        <w:t xml:space="preserve"> </w:t>
      </w:r>
      <w:r>
        <w:t xml:space="preserve">Auditor</w:t>
      </w:r>
      <w:r>
        <w:t xml:space="preserve"> </w:t>
      </w:r>
      <w:r>
        <w:t xml:space="preserve">team, based in our Istanbul office, will perform the following procedures:</w:t>
      </w:r>
    </w:p>
    <w:p>
      <w:pPr>
        <w:numPr>
          <w:ilvl w:val="0"/>
          <w:numId w:val="1001"/>
        </w:numPr>
        <w:pStyle w:val="Compact"/>
      </w:pPr>
      <w:r>
        <w:t xml:space="preserve">Planning and risk assessment of the financial statements for the fiscal year ending 31 December 2025.</w:t>
      </w:r>
    </w:p>
    <w:p>
      <w:pPr>
        <w:numPr>
          <w:ilvl w:val="0"/>
          <w:numId w:val="1001"/>
        </w:numPr>
        <w:pStyle w:val="Compact"/>
      </w:pPr>
      <w:r>
        <w:t xml:space="preserve">Substantive testing of revenue, cost of goods sold, accounts receivable, inventory, fixed assets, and liabilities.</w:t>
      </w:r>
    </w:p>
    <w:p>
      <w:pPr>
        <w:numPr>
          <w:ilvl w:val="0"/>
          <w:numId w:val="1001"/>
        </w:numPr>
        <w:pStyle w:val="Compact"/>
      </w:pPr>
      <w:r>
        <w:t xml:space="preserve">Review of internal control systems and issuance of management letter recommendations.</w:t>
      </w:r>
    </w:p>
    <w:p>
      <w:pPr>
        <w:numPr>
          <w:ilvl w:val="0"/>
          <w:numId w:val="1001"/>
        </w:numPr>
        <w:pStyle w:val="Compact"/>
      </w:pPr>
      <w:r>
        <w:t xml:space="preserve">Verification of compliance with Turkish tax legislation (Corporate Tax Law No. 5520, VAT Law No. 3065).</w:t>
      </w:r>
    </w:p>
    <w:p>
      <w:pPr>
        <w:numPr>
          <w:ilvl w:val="0"/>
          <w:numId w:val="1001"/>
        </w:numPr>
        <w:pStyle w:val="Compact"/>
      </w:pPr>
      <w:r>
        <w:t xml:space="preserve">Confirmation procedures with banks, major customers, and suppliers located in Turkey Istanbul and surrounding regions.</w:t>
      </w:r>
    </w:p>
    <w:p>
      <w:pPr>
        <w:numPr>
          <w:ilvl w:val="0"/>
          <w:numId w:val="1001"/>
        </w:numPr>
        <w:pStyle w:val="Compact"/>
      </w:pPr>
      <w:r>
        <w:t xml:space="preserve">Preparation and issuance of the independent</w:t>
      </w:r>
      <w:r>
        <w:t xml:space="preserve"> </w:t>
      </w:r>
      <w:r>
        <w:t xml:space="preserve">Auditor</w:t>
      </w:r>
      <w:r>
        <w:t xml:space="preserve">'s report in accordance with TMS 700 (Revised).</w:t>
      </w:r>
    </w:p>
    <w:p>
      <w:pPr>
        <w:numPr>
          <w:ilvl w:val="0"/>
          <w:numId w:val="1001"/>
        </w:numPr>
        <w:pStyle w:val="Compact"/>
      </w:pPr>
      <w:r>
        <w:t xml:space="preserve">Coordination with the Turkish Revenue Administration (GİB) for any required audit documentation submissions.</w:t>
      </w:r>
    </w:p>
    <w:p>
      <w:pPr>
        <w:numPr>
          <w:ilvl w:val="0"/>
          <w:numId w:val="1001"/>
        </w:numPr>
        <w:pStyle w:val="Compact"/>
      </w:pPr>
      <w:r>
        <w:t xml:space="preserve">Two on-site fieldwork visits to the client's Istanbul premises and one remote follow-up session.</w:t>
      </w:r>
    </w:p>
    <w:p>
      <w:pPr>
        <w:pStyle w:val="FirstParagraph"/>
      </w:pPr>
      <w:r>
        <w:t xml:space="preserve">3. Fee Schedule – Quotation Estimate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Auditor Service</w:t>
            </w:r>
          </w:p>
        </w:tc>
        <w:tc>
          <w:tcPr/>
          <w:p>
            <w:pPr>
              <w:pStyle w:val="Compact"/>
              <w:jc w:val="left"/>
            </w:pPr>
            <w:r>
              <w:t xml:space="preserve">Duration / Qty</w:t>
            </w:r>
          </w:p>
        </w:tc>
        <w:tc>
          <w:tcPr/>
          <w:p>
            <w:pPr>
              <w:pStyle w:val="Compact"/>
              <w:jc w:val="left"/>
            </w:pPr>
            <w:r>
              <w:t xml:space="preserve">Unit Rate (TRY)</w:t>
            </w:r>
          </w:p>
        </w:tc>
        <w:tc>
          <w:tcPr/>
          <w:p>
            <w:pPr>
              <w:pStyle w:val="Compact"/>
              <w:jc w:val="left"/>
            </w:pPr>
            <w:r>
              <w:t xml:space="preserve">Amount (TRY)</w:t>
            </w:r>
          </w:p>
        </w:tc>
      </w:tr>
      <w:tr>
        <w:tc>
          <w:tcPr/>
          <w:p>
            <w:pPr>
              <w:pStyle w:val="Compact"/>
              <w:jc w:val="left"/>
            </w:pPr>
            <w:r>
              <w:t xml:space="preserve">1</w:t>
            </w:r>
          </w:p>
        </w:tc>
        <w:tc>
          <w:tcPr/>
          <w:p>
            <w:pPr>
              <w:pStyle w:val="Compact"/>
              <w:jc w:val="left"/>
            </w:pPr>
            <w:r>
              <w:t xml:space="preserve">Auditor planning, risk assessment &amp; engagement letter preparation</w:t>
            </w:r>
          </w:p>
        </w:tc>
        <w:tc>
          <w:tcPr/>
          <w:p>
            <w:pPr>
              <w:pStyle w:val="Compact"/>
              <w:jc w:val="left"/>
            </w:pPr>
            <w:r>
              <w:t xml:space="preserve">10 hours</w:t>
            </w:r>
          </w:p>
        </w:tc>
        <w:tc>
          <w:tcPr/>
          <w:p>
            <w:pPr>
              <w:pStyle w:val="Compact"/>
              <w:jc w:val="left"/>
            </w:pPr>
            <w:r>
              <w:t xml:space="preserve">2,500.00</w:t>
            </w:r>
          </w:p>
        </w:tc>
        <w:tc>
          <w:tcPr/>
          <w:p>
            <w:pPr>
              <w:pStyle w:val="Compact"/>
              <w:jc w:val="left"/>
            </w:pPr>
            <w:r>
              <w:t xml:space="preserve">25,000.00</w:t>
            </w:r>
          </w:p>
        </w:tc>
      </w:tr>
      <w:tr>
        <w:tc>
          <w:tcPr/>
          <w:p>
            <w:pPr>
              <w:pStyle w:val="Compact"/>
              <w:jc w:val="left"/>
            </w:pPr>
            <w:r>
              <w:t xml:space="preserve">2</w:t>
            </w:r>
          </w:p>
        </w:tc>
        <w:tc>
          <w:tcPr/>
          <w:p>
            <w:pPr>
              <w:pStyle w:val="Compact"/>
              <w:jc w:val="left"/>
            </w:pPr>
            <w:r>
              <w:t xml:space="preserve">Fieldwork – substantive testing of financial statements (Turkey Istanbul site)</w:t>
            </w:r>
          </w:p>
        </w:tc>
        <w:tc>
          <w:tcPr/>
          <w:p>
            <w:pPr>
              <w:pStyle w:val="Compact"/>
              <w:jc w:val="left"/>
            </w:pPr>
            <w:r>
              <w:t xml:space="preserve">60 hours</w:t>
            </w:r>
          </w:p>
        </w:tc>
        <w:tc>
          <w:tcPr/>
          <w:p>
            <w:pPr>
              <w:pStyle w:val="Compact"/>
              <w:jc w:val="left"/>
            </w:pPr>
            <w:r>
              <w:t xml:space="preserve">2,200.00</w:t>
            </w:r>
          </w:p>
        </w:tc>
        <w:tc>
          <w:tcPr/>
          <w:p>
            <w:pPr>
              <w:pStyle w:val="Compact"/>
              <w:jc w:val="left"/>
            </w:pPr>
            <w:r>
              <w:t xml:space="preserve">132,000.00</w:t>
            </w:r>
          </w:p>
        </w:tc>
      </w:tr>
      <w:tr>
        <w:tc>
          <w:tcPr/>
          <w:p>
            <w:pPr>
              <w:pStyle w:val="Compact"/>
              <w:jc w:val="left"/>
            </w:pPr>
            <w:r>
              <w:t xml:space="preserve">3</w:t>
            </w:r>
          </w:p>
        </w:tc>
        <w:tc>
          <w:tcPr/>
          <w:p>
            <w:pPr>
              <w:pStyle w:val="Compact"/>
              <w:jc w:val="left"/>
            </w:pPr>
            <w:r>
              <w:t xml:space="preserve">Internal control review &amp; management letter drafting</w:t>
            </w:r>
          </w:p>
        </w:tc>
        <w:tc>
          <w:tcPr/>
          <w:p>
            <w:pPr>
              <w:pStyle w:val="Compact"/>
              <w:jc w:val="left"/>
            </w:pPr>
            <w:r>
              <w:t xml:space="preserve">15 hours</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4</w:t>
            </w:r>
          </w:p>
        </w:tc>
        <w:tc>
          <w:tcPr/>
          <w:p>
            <w:pPr>
              <w:pStyle w:val="Compact"/>
              <w:jc w:val="left"/>
            </w:pPr>
            <w:r>
              <w:t xml:space="preserve">Tax compliance verification (Corporate Tax, VAT, Withholding Tax)</w:t>
            </w:r>
          </w:p>
        </w:tc>
        <w:tc>
          <w:tcPr/>
          <w:p>
            <w:pPr>
              <w:pStyle w:val="Compact"/>
              <w:jc w:val="left"/>
            </w:pPr>
            <w:r>
              <w:t xml:space="preserve">20 hours</w:t>
            </w:r>
          </w:p>
        </w:tc>
        <w:tc>
          <w:tcPr/>
          <w:p>
            <w:pPr>
              <w:pStyle w:val="Compact"/>
              <w:jc w:val="left"/>
            </w:pPr>
            <w:r>
              <w:t xml:space="preserve">2,000.00</w:t>
            </w:r>
          </w:p>
        </w:tc>
        <w:tc>
          <w:tcPr/>
          <w:p>
            <w:pPr>
              <w:pStyle w:val="Compact"/>
              <w:jc w:val="left"/>
            </w:pPr>
            <w:r>
              <w:t xml:space="preserve">40,000.00</w:t>
            </w:r>
          </w:p>
        </w:tc>
      </w:tr>
      <w:tr>
        <w:tc>
          <w:tcPr/>
          <w:p>
            <w:pPr>
              <w:pStyle w:val="Compact"/>
              <w:jc w:val="left"/>
            </w:pPr>
            <w:r>
              <w:t xml:space="preserve">5</w:t>
            </w:r>
          </w:p>
        </w:tc>
        <w:tc>
          <w:tcPr/>
          <w:p>
            <w:pPr>
              <w:pStyle w:val="Compact"/>
              <w:jc w:val="left"/>
            </w:pPr>
            <w:r>
              <w:t xml:space="preserve">Confirmation procedures (banks, receivables, payables) – Istanbul region</w:t>
            </w:r>
          </w:p>
        </w:tc>
        <w:tc>
          <w:tcPr/>
          <w:p>
            <w:pPr>
              <w:pStyle w:val="Compact"/>
              <w:jc w:val="left"/>
            </w:pPr>
            <w:r>
              <w:t xml:space="preserve">10 hours</w:t>
            </w:r>
          </w:p>
        </w:tc>
        <w:tc>
          <w:tcPr/>
          <w:p>
            <w:pPr>
              <w:pStyle w:val="Compact"/>
              <w:jc w:val="left"/>
            </w:pPr>
            <w:r>
              <w:t xml:space="preserve">2,200.00</w:t>
            </w:r>
          </w:p>
        </w:tc>
        <w:tc>
          <w:tcPr/>
          <w:p>
            <w:pPr>
              <w:pStyle w:val="Compact"/>
              <w:jc w:val="left"/>
            </w:pPr>
            <w:r>
              <w:t xml:space="preserve">22,000.00</w:t>
            </w:r>
          </w:p>
        </w:tc>
      </w:tr>
      <w:tr>
        <w:tc>
          <w:tcPr/>
          <w:p>
            <w:pPr>
              <w:pStyle w:val="Compact"/>
              <w:jc w:val="left"/>
            </w:pPr>
            <w:r>
              <w:t xml:space="preserve">6</w:t>
            </w:r>
          </w:p>
        </w:tc>
        <w:tc>
          <w:tcPr/>
          <w:p>
            <w:pPr>
              <w:pStyle w:val="Compact"/>
              <w:jc w:val="left"/>
            </w:pPr>
            <w:r>
              <w:t xml:space="preserve">Auditor's report preparation, review &amp; issuance (TMS 700)</w:t>
            </w:r>
          </w:p>
        </w:tc>
        <w:tc>
          <w:tcPr/>
          <w:p>
            <w:pPr>
              <w:pStyle w:val="Compact"/>
              <w:jc w:val="left"/>
            </w:pPr>
            <w:r>
              <w:t xml:space="preserve">12 hours</w:t>
            </w:r>
          </w:p>
        </w:tc>
        <w:tc>
          <w:tcPr/>
          <w:p>
            <w:pPr>
              <w:pStyle w:val="Compact"/>
              <w:jc w:val="left"/>
            </w:pPr>
            <w:r>
              <w:t xml:space="preserve">2,800.00</w:t>
            </w:r>
          </w:p>
        </w:tc>
        <w:tc>
          <w:tcPr/>
          <w:p>
            <w:pPr>
              <w:pStyle w:val="Compact"/>
              <w:jc w:val="left"/>
            </w:pPr>
            <w:r>
              <w:t xml:space="preserve">33,600.00</w:t>
            </w:r>
          </w:p>
        </w:tc>
      </w:tr>
      <w:tr>
        <w:tc>
          <w:tcPr/>
          <w:p>
            <w:pPr>
              <w:pStyle w:val="Compact"/>
              <w:jc w:val="left"/>
            </w:pPr>
            <w:r>
              <w:t xml:space="preserve">7</w:t>
            </w:r>
          </w:p>
        </w:tc>
        <w:tc>
          <w:tcPr/>
          <w:p>
            <w:pPr>
              <w:pStyle w:val="Compact"/>
              <w:jc w:val="left"/>
            </w:pPr>
            <w:r>
              <w:t xml:space="preserve">Travel, accommodation &amp; local transportation within Turkey Istanbul</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15,000.00</w:t>
            </w:r>
          </w:p>
        </w:tc>
      </w:tr>
      <w:tr>
        <w:tc>
          <w:tcPr/>
          <w:p>
            <w:pPr>
              <w:pStyle w:val="Compact"/>
              <w:jc w:val="left"/>
            </w:pPr>
            <w:r>
              <w:t xml:space="preserve">8</w:t>
            </w:r>
          </w:p>
        </w:tc>
        <w:tc>
          <w:tcPr/>
          <w:p>
            <w:pPr>
              <w:pStyle w:val="Compact"/>
              <w:jc w:val="left"/>
            </w:pPr>
            <w:r>
              <w:t xml:space="preserve">Post-audit consultation &amp; regulatory follow-up (GİB, SPK)</w:t>
            </w:r>
          </w:p>
        </w:tc>
        <w:tc>
          <w:tcPr/>
          <w:p>
            <w:pPr>
              <w:pStyle w:val="Compact"/>
              <w:jc w:val="left"/>
            </w:pPr>
            <w:r>
              <w:t xml:space="preserve">8 hours</w:t>
            </w:r>
          </w:p>
        </w:tc>
        <w:tc>
          <w:tcPr/>
          <w:p>
            <w:pPr>
              <w:pStyle w:val="Compact"/>
              <w:jc w:val="left"/>
            </w:pPr>
            <w:r>
              <w:t xml:space="preserve">2,500.00</w:t>
            </w:r>
          </w:p>
        </w:tc>
        <w:tc>
          <w:tcPr/>
          <w:p>
            <w:pPr>
              <w:pStyle w:val="Compact"/>
              <w:jc w:val="left"/>
            </w:pPr>
            <w:r>
              <w:t xml:space="preserve">20,000.00</w:t>
            </w:r>
          </w:p>
        </w:tc>
      </w:tr>
      <w:tr>
        <w:tc>
          <w:tcPr>
            <w:gridSpan w:val="4"/>
          </w:tcPr>
          <w:p>
            <w:pPr>
              <w:pStyle w:val="Compact"/>
              <w:jc w:val="right"/>
            </w:pPr>
            <w:r>
              <w:t xml:space="preserve">Subtotal (TRY)</w:t>
            </w:r>
          </w:p>
        </w:tc>
        <w:tc>
          <w:tcPr/>
          <w:p>
            <w:pPr>
              <w:pStyle w:val="Compact"/>
              <w:jc w:val="left"/>
            </w:pPr>
            <w:r>
              <w:t xml:space="preserve">325,100.00</w:t>
            </w:r>
          </w:p>
        </w:tc>
      </w:tr>
      <w:tr>
        <w:tc>
          <w:tcPr>
            <w:gridSpan w:val="4"/>
          </w:tcPr>
          <w:p>
            <w:pPr>
              <w:pStyle w:val="Compact"/>
              <w:jc w:val="right"/>
            </w:pPr>
            <w:r>
              <w:t xml:space="preserve">KDV (VAT) 20%</w:t>
            </w:r>
          </w:p>
        </w:tc>
        <w:tc>
          <w:tcPr/>
          <w:p>
            <w:pPr>
              <w:pStyle w:val="Compact"/>
              <w:jc w:val="left"/>
            </w:pPr>
            <w:r>
              <w:t xml:space="preserve">65,020.00</w:t>
            </w:r>
          </w:p>
        </w:tc>
      </w:tr>
      <w:tr>
        <w:tc>
          <w:tcPr>
            <w:gridSpan w:val="4"/>
          </w:tcPr>
          <w:p>
            <w:pPr>
              <w:pStyle w:val="Compact"/>
              <w:jc w:val="right"/>
            </w:pPr>
            <w:r>
              <w:t xml:space="preserve">TOTAL AMOUNT DUE (TRY)</w:t>
            </w:r>
          </w:p>
        </w:tc>
        <w:tc>
          <w:tcPr/>
          <w:p>
            <w:pPr>
              <w:pStyle w:val="Compact"/>
              <w:jc w:val="left"/>
            </w:pPr>
            <w:r>
              <w:t xml:space="preserve">390,120.00</w:t>
            </w:r>
          </w:p>
        </w:tc>
      </w:tr>
      <w:tr>
        <w:tc>
          <w:tcPr>
            <w:gridSpan w:val="4"/>
          </w:tcPr>
          <w:p>
            <w:pPr>
              <w:pStyle w:val="Compact"/>
              <w:jc w:val="right"/>
            </w:pPr>
            <w:r>
              <w:t xml:space="preserve">TOTAL AMOUNT DUE (USD – approx. at 35.00/USD)</w:t>
            </w:r>
          </w:p>
        </w:tc>
        <w:tc>
          <w:tcPr/>
          <w:p>
            <w:pPr>
              <w:pStyle w:val="Compact"/>
              <w:jc w:val="left"/>
            </w:pPr>
            <w:r>
              <w:t xml:space="preserve">≈ 11,146.29</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is valid for 30 calendar days from the date of issue. All fees are exclusive of any additional work requested by the client beyond the scope defined above. Should the</w:t>
      </w:r>
      <w:r>
        <w:t xml:space="preserve"> </w:t>
      </w:r>
      <w:r>
        <w:t xml:space="preserve">Auditor</w:t>
      </w:r>
      <w:r>
        <w:t xml:space="preserve"> </w:t>
      </w:r>
      <w:r>
        <w:t xml:space="preserve">engagement extend beyond the agreed timeline due to client-caused delays, additional fees will be applied at the hourly rates stated herein.</w:t>
      </w:r>
    </w:p>
    <w:p>
      <w:pPr>
        <w:pStyle w:val="BodyText"/>
      </w:pPr>
      <w:r>
        <w:t xml:space="preserve">4. Payment Terms</w:t>
      </w:r>
    </w:p>
    <w:p>
      <w:pPr>
        <w:numPr>
          <w:ilvl w:val="0"/>
          <w:numId w:val="1002"/>
        </w:numPr>
        <w:pStyle w:val="Compact"/>
      </w:pPr>
      <w:r>
        <w:t xml:space="preserve">40% advance payment upon signing of the engagement letter:</w:t>
      </w:r>
      <w:r>
        <w:t xml:space="preserve"> </w:t>
      </w:r>
      <w:r>
        <w:rPr>
          <w:bCs/>
          <w:b/>
        </w:rPr>
        <w:t xml:space="preserve">TRY 156,048.00</w:t>
      </w:r>
    </w:p>
    <w:p>
      <w:pPr>
        <w:numPr>
          <w:ilvl w:val="0"/>
          <w:numId w:val="1002"/>
        </w:numPr>
        <w:pStyle w:val="Compact"/>
      </w:pPr>
      <w:r>
        <w:t xml:space="preserve">40% upon completion of fieldwork and delivery of draft</w:t>
      </w:r>
      <w:r>
        <w:t xml:space="preserve"> </w:t>
      </w:r>
      <w:r>
        <w:t xml:space="preserve">Auditor</w:t>
      </w:r>
      <w:r>
        <w:t xml:space="preserve">'s report:</w:t>
      </w:r>
      <w:r>
        <w:t xml:space="preserve"> </w:t>
      </w:r>
      <w:r>
        <w:rPr>
          <w:bCs/>
          <w:b/>
        </w:rPr>
        <w:t xml:space="preserve">TRY 156,048.00</w:t>
      </w:r>
    </w:p>
    <w:p>
      <w:pPr>
        <w:numPr>
          <w:ilvl w:val="0"/>
          <w:numId w:val="1002"/>
        </w:numPr>
        <w:pStyle w:val="Compact"/>
      </w:pPr>
      <w:r>
        <w:t xml:space="preserve">20% upon final issuance of the signed</w:t>
      </w:r>
      <w:r>
        <w:t xml:space="preserve"> </w:t>
      </w:r>
      <w:r>
        <w:t xml:space="preserve">Auditor</w:t>
      </w:r>
      <w:r>
        <w:t xml:space="preserve">'s report:</w:t>
      </w:r>
      <w:r>
        <w:t xml:space="preserve"> </w:t>
      </w:r>
      <w:r>
        <w:rPr>
          <w:bCs/>
          <w:b/>
        </w:rPr>
        <w:t xml:space="preserve">TRY 78,024.00</w:t>
      </w:r>
    </w:p>
    <w:p>
      <w:pPr>
        <w:numPr>
          <w:ilvl w:val="0"/>
          <w:numId w:val="1002"/>
        </w:numPr>
        <w:pStyle w:val="Compact"/>
      </w:pPr>
      <w:r>
        <w:t xml:space="preserve">Payment to be made via bank transfer to: Meridian Audit &amp; Advisory Partners LLC, Ziraat Bankası, IBAN: TR12 0001 0001 2345 6789 0123 45</w:t>
      </w:r>
    </w:p>
    <w:p>
      <w:pPr>
        <w:numPr>
          <w:ilvl w:val="0"/>
          <w:numId w:val="1002"/>
        </w:numPr>
        <w:pStyle w:val="Compact"/>
      </w:pPr>
      <w:r>
        <w:t xml:space="preserve">Invoices will be issued in accordance with Turkish e-invoice (e-Fatura) regulations.</w:t>
      </w:r>
    </w:p>
    <w:p>
      <w:pPr>
        <w:pStyle w:val="FirstParagraph"/>
      </w:pPr>
      <w:r>
        <w:t xml:space="preserve">5. Terms &amp; Conditions</w:t>
      </w:r>
    </w:p>
    <w:p>
      <w:pPr>
        <w:numPr>
          <w:ilvl w:val="0"/>
          <w:numId w:val="1003"/>
        </w:numPr>
        <w:pStyle w:val="Compact"/>
      </w:pPr>
      <w:r>
        <w:t xml:space="preserve">This</w:t>
      </w:r>
      <w:r>
        <w:t xml:space="preserve"> </w:t>
      </w:r>
      <w:r>
        <w:t xml:space="preserve">Quotation Estimate</w:t>
      </w:r>
      <w:r>
        <w:t xml:space="preserve"> </w:t>
      </w:r>
      <w:r>
        <w:t xml:space="preserve">constitutes a non-binding offer until formally accepted in writing by the client.</w:t>
      </w:r>
    </w:p>
    <w:p>
      <w:pPr>
        <w:numPr>
          <w:ilvl w:val="0"/>
          <w:numId w:val="1003"/>
        </w:numPr>
        <w:pStyle w:val="Compact"/>
      </w:pPr>
      <w:r>
        <w:t xml:space="preserve">The</w:t>
      </w:r>
      <w:r>
        <w:t xml:space="preserve"> </w:t>
      </w:r>
      <w:r>
        <w:t xml:space="preserve">Auditor</w:t>
      </w:r>
      <w:r>
        <w:t xml:space="preserve"> </w:t>
      </w:r>
      <w:r>
        <w:t xml:space="preserve">engagement shall be governed by the laws of the Republic of Turkey. Any disputes shall be subject to the exclusive jurisdiction of the courts in Turkey Istanbul.</w:t>
      </w:r>
    </w:p>
    <w:p>
      <w:pPr>
        <w:numPr>
          <w:ilvl w:val="0"/>
          <w:numId w:val="1003"/>
        </w:numPr>
        <w:pStyle w:val="Compact"/>
      </w:pPr>
      <w:r>
        <w:t xml:space="preserve">Confidentiality: All financial data and business information accessed during the audit shall be treated as strictly confidential in accordance with TÜRMOB professional ethics standards.</w:t>
      </w:r>
    </w:p>
    <w:p>
      <w:pPr>
        <w:numPr>
          <w:ilvl w:val="0"/>
          <w:numId w:val="1003"/>
        </w:numPr>
        <w:pStyle w:val="Compact"/>
      </w:pPr>
      <w:r>
        <w:t xml:space="preserve">The</w:t>
      </w:r>
      <w:r>
        <w:t xml:space="preserve"> </w:t>
      </w:r>
      <w:r>
        <w:t xml:space="preserve">Auditor</w:t>
      </w:r>
      <w:r>
        <w:t xml:space="preserve"> </w:t>
      </w:r>
      <w:r>
        <w:t xml:space="preserve">shall maintain professional independence as required by TMS 220 and shall disclose any potential conflicts of interest prior to commencement.</w:t>
      </w:r>
    </w:p>
    <w:p>
      <w:pPr>
        <w:numPr>
          <w:ilvl w:val="0"/>
          <w:numId w:val="1003"/>
        </w:numPr>
        <w:pStyle w:val="Compact"/>
      </w:pPr>
      <w:r>
        <w:t xml:space="preserve">Force majeure events, including but not limited to natural disasters, government-mandated closures, or regulatory changes in Turkey Istanbul, may affect timelines without constituting a breach of contract.</w:t>
      </w:r>
    </w:p>
    <w:p>
      <w:pPr>
        <w:numPr>
          <w:ilvl w:val="0"/>
          <w:numId w:val="1003"/>
        </w:numPr>
        <w:pStyle w:val="Compact"/>
      </w:pPr>
      <w:r>
        <w:t xml:space="preserve">This</w:t>
      </w:r>
      <w:r>
        <w:t xml:space="preserve"> </w:t>
      </w:r>
      <w:r>
        <w:t xml:space="preserve">Quotation Estimate</w:t>
      </w:r>
      <w:r>
        <w:t xml:space="preserve"> </w:t>
      </w:r>
      <w:r>
        <w:t xml:space="preserve">does not guarantee a specific audit opinion. The</w:t>
      </w:r>
      <w:r>
        <w:t xml:space="preserve"> </w:t>
      </w:r>
      <w:r>
        <w:t xml:space="preserve">Auditor</w:t>
      </w:r>
      <w:r>
        <w:t xml:space="preserve">'s report will reflect findings based on evidence obtained during the engagement.</w:t>
      </w:r>
    </w:p>
    <w:p>
      <w:pPr>
        <w:pStyle w:val="FirstParagraph"/>
      </w:pPr>
      <w:r>
        <w:t xml:space="preserve">6. Acceptance &amp; Signatures</w:t>
      </w:r>
    </w:p>
    <w:p>
      <w:pPr>
        <w:pStyle w:val="BodyText"/>
      </w:pPr>
      <w:r>
        <w:t xml:space="preserve">By signing below, both parties acknowledge and agree to the terms set forth in this</w:t>
      </w:r>
      <w:r>
        <w:t xml:space="preserve"> </w:t>
      </w:r>
      <w:r>
        <w:t xml:space="preserve">Quotation Estimate</w:t>
      </w:r>
      <w:r>
        <w:t xml:space="preserve"> </w:t>
      </w:r>
      <w:r>
        <w:t xml:space="preserve">for</w:t>
      </w:r>
      <w:r>
        <w:t xml:space="preserve"> </w:t>
      </w:r>
      <w:r>
        <w:t xml:space="preserve">Auditor</w:t>
      </w:r>
      <w:r>
        <w:t xml:space="preserve"> </w:t>
      </w:r>
      <w:r>
        <w:t xml:space="preserve">services to be performed in</w:t>
      </w:r>
      <w:r>
        <w:t xml:space="preserve"> </w:t>
      </w:r>
      <w:r>
        <w:t xml:space="preserve">Turkey Istanbul</w:t>
      </w:r>
      <w:r>
        <w:t xml:space="preserve">.</w:t>
      </w:r>
    </w:p>
    <w:p>
      <w:pPr>
        <w:pStyle w:val="BodyText"/>
      </w:pPr>
      <w:r>
        <w:rPr>
          <w:bCs/>
          <w:b/>
        </w:rPr>
        <w:t xml:space="preserve">For Meridian Audit &amp; Advisory Partners LLC</w:t>
      </w:r>
    </w:p>
    <w:p>
      <w:pPr>
        <w:pStyle w:val="BodyText"/>
      </w:pPr>
      <w:r>
        <w:t xml:space="preserve">Name: Serhat Demirel, CPA</w:t>
      </w:r>
    </w:p>
    <w:p>
      <w:pPr>
        <w:pStyle w:val="BodyText"/>
      </w:pPr>
      <w:r>
        <w:t xml:space="preserve">Position: Managing Partner &amp; Lead Auditor</w:t>
      </w:r>
    </w:p>
    <w:p>
      <w:pPr>
        <w:pStyle w:val="BodyText"/>
      </w:pPr>
      <w:r>
        <w:t xml:space="preserve">Signature &amp; Company Stamp</w:t>
      </w:r>
    </w:p>
    <w:p>
      <w:pPr>
        <w:pStyle w:val="BodyText"/>
      </w:pPr>
      <w:r>
        <w:rPr>
          <w:bCs/>
          <w:b/>
        </w:rPr>
        <w:t xml:space="preserve">For Anatolia Manufacturing &amp; Trade A.Ş.</w:t>
      </w:r>
    </w:p>
    <w:p>
      <w:pPr>
        <w:pStyle w:val="BodyText"/>
      </w:pPr>
      <w:r>
        <w:t xml:space="preserve">Name: Emre Kaya</w:t>
      </w:r>
    </w:p>
    <w:p>
      <w:pPr>
        <w:pStyle w:val="BodyText"/>
      </w:pPr>
      <w:r>
        <w:t xml:space="preserve">Position: Chief Financial Officer</w:t>
      </w:r>
    </w:p>
    <w:p>
      <w:pPr>
        <w:pStyle w:val="BodyText"/>
      </w:pPr>
      <w:r>
        <w:t xml:space="preserve">Signature &amp; Company Stamp</w:t>
      </w:r>
    </w:p>
    <w:p>
      <w:pPr>
        <w:pStyle w:val="BodyText"/>
      </w:pPr>
      <w:r>
        <w:t xml:space="preserve">Meridian Audit &amp; Advisory Partners LLC | Levent, Istanbul, Turkey | Tel: +90 212 555 0178 | Email: info@meridianaudit.com.tr</w:t>
      </w:r>
    </w:p>
    <w:p>
      <w:pPr>
        <w:pStyle w:val="BodyText"/>
      </w:pPr>
      <w:r>
        <w:t xml:space="preserve">This Quotation Estimate document was generated on 15 June 2025. Document Ref: QTE-2025-IST-0472.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Turkey Istanbul</dc:title>
  <dc:creator/>
  <dc:language>en</dc:language>
  <cp:keywords/>
  <dcterms:created xsi:type="dcterms:W3CDTF">2026-10-10T02:45:51Z</dcterms:created>
  <dcterms:modified xsi:type="dcterms:W3CDTF">2026-10-10T02:45:51Z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