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l-noor-audit-advisory-services-llc"/>
    <w:p>
      <w:pPr>
        <w:pStyle w:val="Heading1"/>
      </w:pPr>
      <w:r>
        <w:t xml:space="preserve">Al Noor Audit &amp; Advisory Services LLC</w:t>
      </w:r>
    </w:p>
    <w:p>
      <w:pPr>
        <w:pStyle w:val="FirstParagraph"/>
      </w:pPr>
      <w:r>
        <w:t xml:space="preserve">Office 1204, Level 12, Al Reem Island Tower, Abu Dhabi, United Arab Emirates</w:t>
      </w:r>
    </w:p>
    <w:p>
      <w:pPr>
        <w:pStyle w:val="BodyText"/>
      </w:pPr>
      <w:r>
        <w:t xml:space="preserve">Tel: +971 2 445 6789 | Email: info@alnooraudit.ae | TRN: 100234567800003</w:t>
      </w:r>
    </w:p>
    <w:p>
      <w:pPr>
        <w:pStyle w:val="BodyText"/>
      </w:pPr>
      <w:r>
        <w:t xml:space="preserve">License No: AD-2019-45821 | MOFAIC Registered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QE-2025-0784</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AED (United Arab Emirates Dirham)</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Gulf Horizon Trading FZE</w:t>
      </w:r>
    </w:p>
    <w:p>
      <w:pPr>
        <w:pStyle w:val="BodyText"/>
      </w:pPr>
      <w:r>
        <w:rPr>
          <w:bCs/>
          <w:b/>
        </w:rPr>
        <w:t xml:space="preserve">Address:</w:t>
      </w:r>
      <w:r>
        <w:t xml:space="preserve"> </w:t>
      </w:r>
      <w:r>
        <w:t xml:space="preserve">Khalifa City A, Plot 45, Abu Dhabi, United Arab Emirates</w:t>
      </w:r>
    </w:p>
    <w:p>
      <w:pPr>
        <w:pStyle w:val="BodyText"/>
      </w:pPr>
      <w:r>
        <w:rPr>
          <w:bCs/>
          <w:b/>
        </w:rPr>
        <w:t xml:space="preserve">Contact:</w:t>
      </w:r>
      <w:r>
        <w:t xml:space="preserve"> </w:t>
      </w:r>
      <w:r>
        <w:t xml:space="preserve">Mr. Khalid Al Mansoori</w:t>
      </w:r>
    </w:p>
    <w:p>
      <w:pPr>
        <w:pStyle w:val="BodyText"/>
      </w:pPr>
      <w:r>
        <w:rPr>
          <w:bCs/>
          <w:b/>
        </w:rPr>
        <w:t xml:space="preserve">TRN:</w:t>
      </w:r>
      <w:r>
        <w:t xml:space="preserve"> </w:t>
      </w:r>
      <w:r>
        <w:t xml:space="preserve">100987654300003</w:t>
      </w:r>
    </w:p>
    <w:bookmarkEnd w:id="22"/>
    <w:p>
      <w:pPr>
        <w:pStyle w:val="BodyText"/>
      </w:pPr>
      <w:r>
        <w:t xml:space="preserve">This</w:t>
      </w:r>
      <w:r>
        <w:t xml:space="preserve"> </w:t>
      </w:r>
      <w:r>
        <w:t xml:space="preserve">Quotation Estimate</w:t>
      </w:r>
      <w:r>
        <w:t xml:space="preserve"> </w:t>
      </w:r>
      <w:r>
        <w:t xml:space="preserve">is issued by Al Noor Audit &amp; Advisory Services LLC, a licensed and registered firm operating in the</w:t>
      </w:r>
      <w:r>
        <w:t xml:space="preserve"> </w:t>
      </w:r>
      <w:r>
        <w:t xml:space="preserve">United Arab Emirates Abu Dhabi</w:t>
      </w:r>
      <w:r>
        <w:t xml:space="preserve"> </w:t>
      </w:r>
      <w:r>
        <w:t xml:space="preserve">jurisdiction, to provide a comprehensive and transparent breakdown of professional</w:t>
      </w:r>
      <w:r>
        <w:t xml:space="preserve"> </w:t>
      </w:r>
      <w:r>
        <w:t xml:space="preserve">Auditor</w:t>
      </w:r>
      <w:r>
        <w:t xml:space="preserve"> </w:t>
      </w:r>
      <w:r>
        <w:t xml:space="preserve">services. The scope of engagement outlined herein has been prepared in accordance with the International Standards on Auditing (ISA) as adopted by the Abu Dhabi Securities Corporation (ADSC) and the relevant regulations of the UAE Ministry of Finance. This document serves as a formal</w:t>
      </w:r>
      <w:r>
        <w:t xml:space="preserve"> </w:t>
      </w:r>
      <w:r>
        <w:t xml:space="preserve">Quotation Estimate</w:t>
      </w:r>
      <w:r>
        <w:t xml:space="preserve"> </w:t>
      </w:r>
      <w:r>
        <w:t xml:space="preserve">for the financial year ending 31 December 2025 and encompasses all deliverables, timelines, and associated costs for the proposed</w:t>
      </w:r>
      <w:r>
        <w:t xml:space="preserve"> </w:t>
      </w:r>
      <w:r>
        <w:t xml:space="preserve">Auditor</w:t>
      </w:r>
      <w:r>
        <w:t xml:space="preserve"> </w:t>
      </w:r>
      <w:r>
        <w:t xml:space="preserve">engagement.</w:t>
      </w:r>
    </w:p>
    <w:p>
      <w:pPr>
        <w:pStyle w:val="BodyText"/>
      </w:pPr>
      <w:r>
        <w:t xml:space="preserve">Scope of Auditor Services</w:t>
      </w:r>
    </w:p>
    <w:p>
      <w:pPr>
        <w:pStyle w:val="BodyText"/>
      </w:pPr>
      <w:r>
        <w:t xml:space="preserve">The proposed</w:t>
      </w:r>
      <w:r>
        <w:t xml:space="preserve"> </w:t>
      </w:r>
      <w:r>
        <w:t xml:space="preserve">Auditor</w:t>
      </w:r>
      <w:r>
        <w:t xml:space="preserve"> </w:t>
      </w:r>
      <w:r>
        <w:t xml:space="preserve">engagement will include a full statutory audit of the financial statements of Gulf Horizon Trading FZE, prepared in compliance with International Financial Reporting Standards (IFRS) and the UAE Commercial Companies Law (Federal Law No. 32 of 2021). The</w:t>
      </w:r>
      <w:r>
        <w:t xml:space="preserve"> </w:t>
      </w:r>
      <w:r>
        <w:t xml:space="preserve">Auditor</w:t>
      </w:r>
      <w:r>
        <w:t xml:space="preserve"> </w:t>
      </w:r>
      <w:r>
        <w:t xml:space="preserve">team, led by a Chartered Accountant registered with the Abu Dhabi Securities Corporation, will perform risk-based audit procedures including but not limited to: verification of revenue and cost of goods sold, confirmation of trade receivables and payables, physical inventory observation at the client's warehouse in Khalifa City, review of bank reconciliations, assessment of internal controls, and evaluation of compliance with UAE tax obligations including Corporate Tax (Federal Decree-Law No. 47 of 2022) and Value Added Tax (VAT) under the Abu Dhabi Tax Authority.</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Planning &amp; Risk Assessment – Initial</w:t>
            </w:r>
            <w:r>
              <w:t xml:space="preserve"> </w:t>
            </w:r>
            <w:r>
              <w:t xml:space="preserve">Auditor</w:t>
            </w:r>
            <w:r>
              <w:t xml:space="preserve"> </w:t>
            </w:r>
            <w:r>
              <w:t xml:space="preserve">engagement meeting, understanding of business operations in Abu Dhabi, and development of the audit plan</w:t>
            </w:r>
          </w:p>
        </w:tc>
        <w:tc>
          <w:tcPr/>
          <w:p>
            <w:pPr>
              <w:pStyle w:val="Compact"/>
              <w:jc w:val="left"/>
            </w:pPr>
            <w:r>
              <w:t xml:space="preserve">5 working days</w:t>
            </w:r>
          </w:p>
        </w:tc>
        <w:tc>
          <w:tcPr/>
          <w:p>
            <w:pPr>
              <w:pStyle w:val="Compact"/>
              <w:jc w:val="left"/>
            </w:pPr>
            <w:r>
              <w:t xml:space="preserve">1,200 / day</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Substantive Testing – Detailed examination of financial records, journal entries, and supporting documentation for the fiscal year</w:t>
            </w:r>
          </w:p>
        </w:tc>
        <w:tc>
          <w:tcPr/>
          <w:p>
            <w:pPr>
              <w:pStyle w:val="Compact"/>
              <w:jc w:val="left"/>
            </w:pPr>
            <w:r>
              <w:t xml:space="preserve">15 working days</w:t>
            </w:r>
          </w:p>
        </w:tc>
        <w:tc>
          <w:tcPr/>
          <w:p>
            <w:pPr>
              <w:pStyle w:val="Compact"/>
              <w:jc w:val="left"/>
            </w:pPr>
            <w:r>
              <w:t xml:space="preserve">1,500 / day</w:t>
            </w:r>
          </w:p>
        </w:tc>
        <w:tc>
          <w:tcPr/>
          <w:p>
            <w:pPr>
              <w:pStyle w:val="Compact"/>
              <w:jc w:val="left"/>
            </w:pPr>
            <w:r>
              <w:t xml:space="preserve">22,500.00</w:t>
            </w:r>
          </w:p>
        </w:tc>
      </w:tr>
      <w:tr>
        <w:tc>
          <w:tcPr/>
          <w:p>
            <w:pPr>
              <w:pStyle w:val="Compact"/>
              <w:jc w:val="left"/>
            </w:pPr>
            <w:r>
              <w:t xml:space="preserve">3</w:t>
            </w:r>
          </w:p>
        </w:tc>
        <w:tc>
          <w:tcPr/>
          <w:p>
            <w:pPr>
              <w:pStyle w:val="Compact"/>
              <w:jc w:val="left"/>
            </w:pPr>
            <w:r>
              <w:t xml:space="preserve">Inventory Count &amp; Valuation – On-site physical observation at client premises in Abu Dhabi, United Arab Emirates</w:t>
            </w:r>
          </w:p>
        </w:tc>
        <w:tc>
          <w:tcPr/>
          <w:p>
            <w:pPr>
              <w:pStyle w:val="Compact"/>
              <w:jc w:val="left"/>
            </w:pPr>
            <w:r>
              <w:t xml:space="preserve">2 working days</w:t>
            </w:r>
          </w:p>
        </w:tc>
        <w:tc>
          <w:tcPr/>
          <w:p>
            <w:pPr>
              <w:pStyle w:val="Compact"/>
              <w:jc w:val="left"/>
            </w:pPr>
            <w:r>
              <w:t xml:space="preserve">2,000 / day</w:t>
            </w:r>
          </w:p>
        </w:tc>
        <w:tc>
          <w:tcPr/>
          <w:p>
            <w:pPr>
              <w:pStyle w:val="Compact"/>
              <w:jc w:val="left"/>
            </w:pPr>
            <w:r>
              <w:t xml:space="preserve">4,000.00</w:t>
            </w:r>
          </w:p>
        </w:tc>
      </w:tr>
      <w:tr>
        <w:tc>
          <w:tcPr/>
          <w:p>
            <w:pPr>
              <w:pStyle w:val="Compact"/>
              <w:jc w:val="left"/>
            </w:pPr>
            <w:r>
              <w:t xml:space="preserve">4</w:t>
            </w:r>
          </w:p>
        </w:tc>
        <w:tc>
          <w:tcPr/>
          <w:p>
            <w:pPr>
              <w:pStyle w:val="Compact"/>
              <w:jc w:val="left"/>
            </w:pPr>
            <w:r>
              <w:t xml:space="preserve">Compliance Review – UAE Corporate Tax, VAT, and ADSC regulatory compliance assessment</w:t>
            </w:r>
          </w:p>
        </w:tc>
        <w:tc>
          <w:tcPr/>
          <w:p>
            <w:pPr>
              <w:pStyle w:val="Compact"/>
              <w:jc w:val="left"/>
            </w:pPr>
            <w:r>
              <w:t xml:space="preserve">5 working days</w:t>
            </w:r>
          </w:p>
        </w:tc>
        <w:tc>
          <w:tcPr/>
          <w:p>
            <w:pPr>
              <w:pStyle w:val="Compact"/>
              <w:jc w:val="left"/>
            </w:pPr>
            <w:r>
              <w:t xml:space="preserve">1,400 / day</w:t>
            </w:r>
          </w:p>
        </w:tc>
        <w:tc>
          <w:tcPr/>
          <w:p>
            <w:pPr>
              <w:pStyle w:val="Compact"/>
              <w:jc w:val="left"/>
            </w:pPr>
            <w:r>
              <w:t xml:space="preserve">7,000.00</w:t>
            </w:r>
          </w:p>
        </w:tc>
      </w:tr>
      <w:tr>
        <w:tc>
          <w:tcPr/>
          <w:p>
            <w:pPr>
              <w:pStyle w:val="Compact"/>
              <w:jc w:val="left"/>
            </w:pPr>
            <w:r>
              <w:t xml:space="preserve">5</w:t>
            </w:r>
          </w:p>
        </w:tc>
        <w:tc>
          <w:tcPr/>
          <w:p>
            <w:pPr>
              <w:pStyle w:val="Compact"/>
              <w:jc w:val="left"/>
            </w:pPr>
            <w:r>
              <w:t xml:space="preserve">Management Letter &amp; Internal Control Recommendations – Written report of findings and remediation suggestions</w:t>
            </w:r>
          </w:p>
        </w:tc>
        <w:tc>
          <w:tcPr/>
          <w:p>
            <w:pPr>
              <w:pStyle w:val="Compact"/>
              <w:jc w:val="left"/>
            </w:pPr>
            <w:r>
              <w:t xml:space="preserve">3 working days</w:t>
            </w:r>
          </w:p>
        </w:tc>
        <w:tc>
          <w:tcPr/>
          <w:p>
            <w:pPr>
              <w:pStyle w:val="Compact"/>
              <w:jc w:val="left"/>
            </w:pPr>
            <w:r>
              <w:t xml:space="preserve">1,300 / day</w:t>
            </w:r>
          </w:p>
        </w:tc>
        <w:tc>
          <w:tcPr/>
          <w:p>
            <w:pPr>
              <w:pStyle w:val="Compact"/>
              <w:jc w:val="left"/>
            </w:pPr>
            <w:r>
              <w:t xml:space="preserve">3,900.00</w:t>
            </w:r>
          </w:p>
        </w:tc>
      </w:tr>
      <w:tr>
        <w:tc>
          <w:tcPr/>
          <w:p>
            <w:pPr>
              <w:pStyle w:val="Compact"/>
              <w:jc w:val="left"/>
            </w:pPr>
            <w:r>
              <w:t xml:space="preserve">6</w:t>
            </w:r>
          </w:p>
        </w:tc>
        <w:tc>
          <w:tcPr/>
          <w:p>
            <w:pPr>
              <w:pStyle w:val="Compact"/>
              <w:jc w:val="left"/>
            </w:pPr>
            <w:r>
              <w:t xml:space="preserve">Audit Report Preparation &amp; Issuance – Final</w:t>
            </w:r>
            <w:r>
              <w:t xml:space="preserve"> </w:t>
            </w:r>
            <w:r>
              <w:t xml:space="preserve">Auditor</w:t>
            </w:r>
            <w:r>
              <w:t xml:space="preserve"> </w:t>
            </w:r>
            <w:r>
              <w:t xml:space="preserve">opinion letter, signed and sealed, submitted to ADSC and relevant UAE authorities</w:t>
            </w:r>
          </w:p>
        </w:tc>
        <w:tc>
          <w:tcPr/>
          <w:p>
            <w:pPr>
              <w:pStyle w:val="Compact"/>
              <w:jc w:val="left"/>
            </w:pPr>
            <w:r>
              <w:t xml:space="preserve">5 working days</w:t>
            </w:r>
          </w:p>
        </w:tc>
        <w:tc>
          <w:tcPr/>
          <w:p>
            <w:pPr>
              <w:pStyle w:val="Compact"/>
              <w:jc w:val="left"/>
            </w:pPr>
            <w:r>
              <w:t xml:space="preserve">1,600 / day</w:t>
            </w:r>
          </w:p>
        </w:tc>
        <w:tc>
          <w:tcPr/>
          <w:p>
            <w:pPr>
              <w:pStyle w:val="Compact"/>
              <w:jc w:val="left"/>
            </w:pPr>
            <w:r>
              <w:t xml:space="preserve">8,000.00</w:t>
            </w:r>
          </w:p>
        </w:tc>
      </w:tr>
      <w:tr>
        <w:tc>
          <w:tcPr/>
          <w:p>
            <w:pPr>
              <w:pStyle w:val="Compact"/>
              <w:jc w:val="left"/>
            </w:pPr>
            <w:r>
              <w:t xml:space="preserve">7</w:t>
            </w:r>
          </w:p>
        </w:tc>
        <w:tc>
          <w:tcPr/>
          <w:p>
            <w:pPr>
              <w:pStyle w:val="Compact"/>
              <w:jc w:val="left"/>
            </w:pPr>
            <w:r>
              <w:t xml:space="preserve">Post-Audit Support – Q&amp;A sessions, regulatory filing assistance, and follow-up consultations (up to 30 days post-issuance)</w:t>
            </w:r>
          </w:p>
        </w:tc>
        <w:tc>
          <w:tcPr/>
          <w:p>
            <w:pPr>
              <w:pStyle w:val="Compact"/>
              <w:jc w:val="left"/>
            </w:pPr>
            <w:r>
              <w:t xml:space="preserve">Ongoing</w:t>
            </w:r>
          </w:p>
        </w:tc>
        <w:tc>
          <w:tcPr/>
          <w:p>
            <w:pPr>
              <w:pStyle w:val="Compact"/>
              <w:jc w:val="left"/>
            </w:pPr>
            <w:r>
              <w:t xml:space="preserve">Flat fee</w:t>
            </w:r>
          </w:p>
        </w:tc>
        <w:tc>
          <w:tcPr/>
          <w:p>
            <w:pPr>
              <w:pStyle w:val="Compact"/>
              <w:jc w:val="left"/>
            </w:pPr>
            <w:r>
              <w:t xml:space="preserve">3,500.00</w:t>
            </w:r>
          </w:p>
        </w:tc>
      </w:tr>
      <w:tr>
        <w:tc>
          <w:tcPr>
            <w:gridSpan w:val="4"/>
          </w:tcPr>
          <w:p>
            <w:pPr>
              <w:pStyle w:val="Compact"/>
              <w:jc w:val="right"/>
            </w:pPr>
            <w:r>
              <w:t xml:space="preserve">Subtotal</w:t>
            </w:r>
          </w:p>
        </w:tc>
        <w:tc>
          <w:tcPr/>
          <w:p>
            <w:pPr>
              <w:pStyle w:val="Compact"/>
              <w:jc w:val="left"/>
            </w:pPr>
            <w:r>
              <w:t xml:space="preserve">54,900.00</w:t>
            </w:r>
          </w:p>
        </w:tc>
      </w:tr>
      <w:tr>
        <w:tc>
          <w:tcPr>
            <w:gridSpan w:val="4"/>
          </w:tcPr>
          <w:p>
            <w:pPr>
              <w:pStyle w:val="Compact"/>
              <w:jc w:val="right"/>
            </w:pPr>
            <w:r>
              <w:t xml:space="preserve">VAT (5% – UAE Standard Rate)</w:t>
            </w:r>
          </w:p>
        </w:tc>
        <w:tc>
          <w:tcPr/>
          <w:p>
            <w:pPr>
              <w:pStyle w:val="Compact"/>
              <w:jc w:val="left"/>
            </w:pPr>
            <w:r>
              <w:t xml:space="preserve">2,745.00</w:t>
            </w:r>
          </w:p>
        </w:tc>
      </w:tr>
      <w:tr>
        <w:tc>
          <w:tcPr>
            <w:gridSpan w:val="4"/>
          </w:tcPr>
          <w:p>
            <w:pPr>
              <w:pStyle w:val="Compact"/>
              <w:jc w:val="right"/>
            </w:pPr>
            <w:r>
              <w:t xml:space="preserve">TOTAL AMOUNT DUE</w:t>
            </w:r>
          </w:p>
        </w:tc>
        <w:tc>
          <w:tcPr/>
          <w:p>
            <w:pPr>
              <w:pStyle w:val="Compact"/>
              <w:jc w:val="left"/>
            </w:pPr>
            <w:r>
              <w:t xml:space="preserve">57,645.00</w:t>
            </w:r>
          </w:p>
        </w:tc>
      </w:tr>
    </w:tbl>
    <w:p>
      <w:pPr>
        <w:pStyle w:val="BodyText"/>
      </w:pPr>
      <w:r>
        <w:t xml:space="preserve">Payment Terms</w:t>
      </w:r>
    </w:p>
    <w:p>
      <w:pPr>
        <w:pStyle w:val="BodyText"/>
      </w:pPr>
      <w:r>
        <w:t xml:space="preserve">Payment for this</w:t>
      </w:r>
      <w:r>
        <w:t xml:space="preserve"> </w:t>
      </w:r>
      <w:r>
        <w:t xml:space="preserve">Quotation Estimate</w:t>
      </w:r>
      <w:r>
        <w:t xml:space="preserve"> </w:t>
      </w:r>
      <w:r>
        <w:t xml:space="preserve">shall be made in three installments: (i) 40% (AED 23,058.00) upon execution of the engagement letter; (ii) 40% (AED 23,058.00) upon completion of substantive fieldwork; and (iii) 20% (AED 11,529.00) upon delivery of the final</w:t>
      </w:r>
      <w:r>
        <w:t xml:space="preserve"> </w:t>
      </w:r>
      <w:r>
        <w:t xml:space="preserve">Auditor</w:t>
      </w:r>
      <w:r>
        <w:t xml:space="preserve"> </w:t>
      </w:r>
      <w:r>
        <w:t xml:space="preserve">report. All payments shall be made via bank transfer to the firm's designated account in Abu Dhabi, United Arab Emirates. A 2% late payment penalty shall apply to any outstanding balance exceeding 14 days from the due date, in accordance with UAE commercial practice.</w:t>
      </w:r>
    </w:p>
    <w:p>
      <w:pPr>
        <w:pStyle w:val="BodyText"/>
      </w:pPr>
      <w:r>
        <w:t xml:space="preserve">Terms and Conditions</w:t>
      </w:r>
    </w:p>
    <w:p>
      <w:pPr>
        <w:pStyle w:val="BodyText"/>
      </w:pPr>
      <w:r>
        <w:t xml:space="preserve">1. This</w:t>
      </w:r>
      <w:r>
        <w:t xml:space="preserve"> </w:t>
      </w:r>
      <w:r>
        <w:t xml:space="preserve">Quotation Estimate</w:t>
      </w:r>
      <w:r>
        <w:t xml:space="preserve"> </w:t>
      </w:r>
      <w:r>
        <w:t xml:space="preserve">is valid for thirty (30) calendar days from the date of issue. Beyond this period, rates and availability of the</w:t>
      </w:r>
      <w:r>
        <w:t xml:space="preserve"> </w:t>
      </w:r>
      <w:r>
        <w:t xml:space="preserve">Auditor</w:t>
      </w:r>
      <w:r>
        <w:t xml:space="preserve"> </w:t>
      </w:r>
      <w:r>
        <w:t xml:space="preserve">team are subject to revision.</w:t>
      </w:r>
    </w:p>
    <w:p>
      <w:pPr>
        <w:pStyle w:val="BodyText"/>
      </w:pPr>
      <w:r>
        <w:t xml:space="preserve">2. The</w:t>
      </w:r>
      <w:r>
        <w:t xml:space="preserve"> </w:t>
      </w:r>
      <w:r>
        <w:t xml:space="preserve">Auditor</w:t>
      </w:r>
      <w:r>
        <w:t xml:space="preserve"> </w:t>
      </w:r>
      <w:r>
        <w:t xml:space="preserve">engagement is governed by the laws of the United Arab Emirates, and any disputes shall be subject to the exclusive jurisdiction of the courts of Abu Dhabi, United Arab Emirates.</w:t>
      </w:r>
    </w:p>
    <w:p>
      <w:pPr>
        <w:pStyle w:val="BodyText"/>
      </w:pPr>
      <w:r>
        <w:t xml:space="preserve">3. The client agrees to provide timely access to all books, records, physical assets, and personnel necessary for the</w:t>
      </w:r>
      <w:r>
        <w:t xml:space="preserve"> </w:t>
      </w:r>
      <w:r>
        <w:t xml:space="preserve">Auditor</w:t>
      </w:r>
      <w:r>
        <w:t xml:space="preserve"> </w:t>
      </w:r>
      <w:r>
        <w:t xml:space="preserve">to perform the engagement. Delays in access may result in additional charges at the daily rate specified in this</w:t>
      </w:r>
      <w:r>
        <w:t xml:space="preserve"> </w:t>
      </w:r>
      <w:r>
        <w:t xml:space="preserve">Quotation Estimate</w:t>
      </w:r>
      <w:r>
        <w:t xml:space="preserve">.</w:t>
      </w:r>
    </w:p>
    <w:p>
      <w:pPr>
        <w:pStyle w:val="BodyText"/>
      </w:pPr>
      <w:r>
        <w:t xml:space="preserve">4. The</w:t>
      </w:r>
      <w:r>
        <w:t xml:space="preserve"> </w:t>
      </w:r>
      <w:r>
        <w:t xml:space="preserve">Auditor</w:t>
      </w:r>
      <w:r>
        <w:t xml:space="preserve"> </w:t>
      </w:r>
      <w:r>
        <w:t xml:space="preserve">shall maintain strict confidentiality in accordance with the UAE Federal Decree-Law on the Protection of Personal Data (Federal Decree-Law No. 45 of 2021) and the professional code of ethics of the Abu Dhabi Securities Corporation.</w:t>
      </w:r>
    </w:p>
    <w:p>
      <w:pPr>
        <w:pStyle w:val="BodyText"/>
      </w:pPr>
      <w:r>
        <w:t xml:space="preserve">5. This</w:t>
      </w:r>
      <w:r>
        <w:t xml:space="preserve"> </w:t>
      </w:r>
      <w:r>
        <w:t xml:space="preserve">Quotation Estimate</w:t>
      </w:r>
      <w:r>
        <w:t xml:space="preserve"> </w:t>
      </w:r>
      <w:r>
        <w:t xml:space="preserve">does not constitute a binding contract until a formal engagement letter is executed by both parties. The terms herein shall form the basis of such engagement letter.</w:t>
      </w:r>
    </w:p>
    <w:p>
      <w:pPr>
        <w:pStyle w:val="BodyText"/>
      </w:pPr>
      <w:r>
        <w:t xml:space="preserve">6. The</w:t>
      </w:r>
      <w:r>
        <w:t xml:space="preserve"> </w:t>
      </w:r>
      <w:r>
        <w:t xml:space="preserve">Auditor</w:t>
      </w:r>
      <w:r>
        <w:t xml:space="preserve"> </w:t>
      </w:r>
      <w:r>
        <w:t xml:space="preserve">reserves the right to withdraw from the engagement if material misstatements, fraud, or non-cooperation are identified during the audit process, in which case fees for work performed to date shall remain payable.</w:t>
      </w:r>
    </w:p>
    <w:p>
      <w:pPr>
        <w:pStyle w:val="BodyText"/>
      </w:pPr>
      <w:r>
        <w:t xml:space="preserve">7. All deliverables, including the final audit opinion, management letter, and compliance reports, shall be issued in both Arabic and English to satisfy the regulatory requirements of the United Arab Emirates Abu Dhabi authorities.</w:t>
      </w:r>
    </w:p>
    <w:p>
      <w:pPr>
        <w:pStyle w:val="BodyText"/>
      </w:pPr>
      <w:r>
        <w:t xml:space="preserve">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scope, fees, and terms outlined for the proposed</w:t>
      </w:r>
      <w:r>
        <w:t xml:space="preserve"> </w:t>
      </w:r>
      <w:r>
        <w:t xml:space="preserve">Auditor</w:t>
      </w:r>
      <w:r>
        <w:t xml:space="preserve"> </w:t>
      </w:r>
      <w:r>
        <w:t xml:space="preserve">engagement in the United Arab Emirates Abu Dhabi.</w:t>
      </w:r>
    </w:p>
    <w:p>
      <w:pPr>
        <w:pStyle w:val="BodyText"/>
      </w:pPr>
      <w:r>
        <w:rPr>
          <w:bCs/>
          <w:b/>
        </w:rPr>
        <w:t xml:space="preserve">For: Al Noor Audit &amp; Advisory Services LLC</w:t>
      </w:r>
      <w:r>
        <w:br/>
      </w:r>
      <w:r>
        <w:t xml:space="preserve">Authorized Signatory / Lead Auditor</w:t>
      </w:r>
      <w:r>
        <w:br/>
      </w:r>
      <w:r>
        <w:t xml:space="preserve">Name: _________________________</w:t>
      </w:r>
      <w:r>
        <w:br/>
      </w:r>
      <w:r>
        <w:t xml:space="preserve">Date: _________________________</w:t>
      </w:r>
    </w:p>
    <w:p>
      <w:pPr>
        <w:pStyle w:val="BodyText"/>
      </w:pPr>
      <w:r>
        <w:rPr>
          <w:bCs/>
          <w:b/>
        </w:rPr>
        <w:t xml:space="preserve">For: Gulf Horizon Trading FZE</w:t>
      </w:r>
      <w:r>
        <w:br/>
      </w:r>
      <w:r>
        <w:t xml:space="preserve">Authorized Representative</w:t>
      </w:r>
      <w:r>
        <w:br/>
      </w:r>
      <w:r>
        <w:t xml:space="preserve">Name: _________________________</w:t>
      </w:r>
      <w:r>
        <w:br/>
      </w:r>
      <w:r>
        <w:t xml:space="preserve">Date: _________________________</w:t>
      </w:r>
    </w:p>
    <w:p>
      <w:pPr>
        <w:pStyle w:val="BodyText"/>
      </w:pPr>
      <w:r>
        <w:t xml:space="preserve">Al Noor Audit &amp; Advisory Services LLC | Al Reem Island, Abu Dhabi, United Arab Emirates</w:t>
      </w:r>
    </w:p>
    <w:p>
      <w:pPr>
        <w:pStyle w:val="BodyText"/>
      </w:pPr>
      <w:r>
        <w:t xml:space="preserve">This Quotation Estimate is a confidential document intended solely for the named recipient. Unauthorized distribution is prohibited under UAE law.</w:t>
      </w:r>
    </w:p>
    <w:p>
      <w:pPr>
        <w:pStyle w:val="BodyText"/>
      </w:pPr>
      <w:r>
        <w:t xml:space="preserve">Document Ref: QE-2025-0784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United Arab Emirates Abu Dhabi</dc:title>
  <dc:creator/>
  <dc:language>en</dc:language>
  <cp:keywords/>
  <dcterms:created xsi:type="dcterms:W3CDTF">2026-10-10T04:15:58Z</dcterms:created>
  <dcterms:modified xsi:type="dcterms:W3CDTF">2026-10-10T04:15:58Z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