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rPr>
          <w:bCs/>
          <w:b/>
        </w:rPr>
        <w:t xml:space="preserve">Meridian Audit &amp; Advisory Services LLC</w:t>
      </w:r>
    </w:p>
    <w:p>
      <w:pPr>
        <w:pStyle w:val="BodyText"/>
      </w:pPr>
      <w:r>
        <w:t xml:space="preserve">Office 1204, Level 12, Dubai International Financial Centre (DIFC), Gate Avenue, United Arab Emirates Dubai</w:t>
      </w:r>
    </w:p>
    <w:p>
      <w:pPr>
        <w:pStyle w:val="BodyText"/>
      </w:pPr>
      <w:r>
        <w:t xml:space="preserve">Tel: +971 4 555 0192 | Email: quotations@meridianaudit.ae | TRN: 100234567800003</w:t>
      </w:r>
    </w:p>
    <w:bookmarkEnd w:id="20"/>
    <w:p>
      <w:pPr>
        <w:pStyle w:val="BodyText"/>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Al Noor Trading FZE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Meridian Audit &amp; Advisory Services LLC, a licensed professional firm operating within the</w:t>
      </w:r>
      <w:r>
        <w:t xml:space="preserve"> </w:t>
      </w:r>
      <w:r>
        <w:t xml:space="preserve">United Arab Emirates Dubai</w:t>
      </w:r>
      <w:r>
        <w:t xml:space="preserve"> </w:t>
      </w:r>
      <w:r>
        <w:t xml:space="preserve">jurisdiction, to provide Al Noor Trading FZE with a comprehensive and transparent breakdown of costs associated with the engagement of a qualified</w:t>
      </w:r>
      <w:r>
        <w:t xml:space="preserve"> </w:t>
      </w:r>
      <w:r>
        <w:t xml:space="preserve">Auditor</w:t>
      </w:r>
      <w:r>
        <w:t xml:space="preserve"> </w:t>
      </w:r>
      <w:r>
        <w:t xml:space="preserve">for the fiscal year ending 31 December 2025. This document serves as a binding financial proposal and outlines the full scope of</w:t>
      </w:r>
      <w:r>
        <w:t xml:space="preserve"> </w:t>
      </w:r>
      <w:r>
        <w:t xml:space="preserve">Auditor</w:t>
      </w:r>
      <w:r>
        <w:t xml:space="preserve"> </w:t>
      </w:r>
      <w:r>
        <w:t xml:space="preserve">services, applicable fees, payment schedules, and contractual terms governing the professional relationship between both parties.</w:t>
      </w:r>
    </w:p>
    <w:bookmarkEnd w:id="21"/>
    <w:bookmarkStart w:id="22" w:name="scope-of-auditor-services"/>
    <w:p>
      <w:pPr>
        <w:pStyle w:val="Heading2"/>
      </w:pPr>
      <w:r>
        <w:t xml:space="preserve">2. Scope of Auditor Services</w:t>
      </w:r>
    </w:p>
    <w:p>
      <w:pPr>
        <w:pStyle w:val="FirstParagraph"/>
      </w:pPr>
      <w:r>
        <w:t xml:space="preserve">The</w:t>
      </w:r>
      <w:r>
        <w:t xml:space="preserve"> </w:t>
      </w:r>
      <w:r>
        <w:t xml:space="preserve">Auditor</w:t>
      </w:r>
      <w:r>
        <w:t xml:space="preserve"> </w:t>
      </w:r>
      <w:r>
        <w:t xml:space="preserve">engagement, as detailed in this</w:t>
      </w:r>
      <w:r>
        <w:t xml:space="preserve"> </w:t>
      </w:r>
      <w:r>
        <w:t xml:space="preserve">Quotation Estimate</w:t>
      </w:r>
      <w:r>
        <w:t xml:space="preserve">, encompasses the following professional services to be delivered in full compliance with the International Standards on Auditing (ISA), the UAE Federal Decree-Law No. 2 of 2017 on Commercial Companies, and the regulatory requirements of the Dubai Financial Services Authority (DFSA) and the Securities and Commodities Authority (SCA) where applicable:</w:t>
      </w:r>
    </w:p>
    <w:p>
      <w:pPr>
        <w:numPr>
          <w:ilvl w:val="0"/>
          <w:numId w:val="1001"/>
        </w:numPr>
        <w:pStyle w:val="Compact"/>
      </w:pPr>
      <w:r>
        <w:rPr>
          <w:bCs/>
          <w:b/>
        </w:rPr>
        <w:t xml:space="preserve">Statutory Financial Audit:</w:t>
      </w:r>
      <w:r>
        <w:t xml:space="preserve"> </w:t>
      </w:r>
      <w:r>
        <w:t xml:space="preserve">Full examination of the general ledger, trial balance, and financial statements (Statement of Financial Position, Statement of Profit or Loss, Statement of Cash Flows, and Statement of Changes in Equity) for the fiscal year 2025.</w:t>
      </w:r>
    </w:p>
    <w:p>
      <w:pPr>
        <w:numPr>
          <w:ilvl w:val="0"/>
          <w:numId w:val="1001"/>
        </w:numPr>
        <w:pStyle w:val="Compact"/>
      </w:pPr>
      <w:r>
        <w:rPr>
          <w:bCs/>
          <w:b/>
        </w:rPr>
        <w:t xml:space="preserve">Internal Controls Assessment:</w:t>
      </w:r>
      <w:r>
        <w:t xml:space="preserve"> </w:t>
      </w:r>
      <w:r>
        <w:t xml:space="preserve">Evaluation of the design and operating effectiveness of internal financial controls, with a written report of findings and recommendations.</w:t>
      </w:r>
    </w:p>
    <w:p>
      <w:pPr>
        <w:numPr>
          <w:ilvl w:val="0"/>
          <w:numId w:val="1001"/>
        </w:numPr>
        <w:pStyle w:val="Compact"/>
      </w:pPr>
      <w:r>
        <w:rPr>
          <w:bCs/>
          <w:b/>
        </w:rPr>
        <w:t xml:space="preserve">Tax Compliance Review:</w:t>
      </w:r>
      <w:r>
        <w:t xml:space="preserve"> </w:t>
      </w:r>
      <w:r>
        <w:t xml:space="preserve">Verification of VAT filings, corporate tax computations under the UAE Corporate Tax Law (Federal Decree-Law No. 47 of 2022), and reconciliation of tax provisions.</w:t>
      </w:r>
    </w:p>
    <w:p>
      <w:pPr>
        <w:numPr>
          <w:ilvl w:val="0"/>
          <w:numId w:val="1001"/>
        </w:numPr>
        <w:pStyle w:val="Compact"/>
      </w:pPr>
      <w:r>
        <w:rPr>
          <w:bCs/>
          <w:b/>
        </w:rPr>
        <w:t xml:space="preserve">Regulatory Reporting:</w:t>
      </w:r>
      <w:r>
        <w:t xml:space="preserve"> </w:t>
      </w:r>
      <w:r>
        <w:t xml:space="preserve">Preparation and submission of the audited financial statements to the relevant</w:t>
      </w:r>
      <w:r>
        <w:t xml:space="preserve"> </w:t>
      </w:r>
      <w:r>
        <w:t xml:space="preserve">United Arab Emirates Dubai</w:t>
      </w:r>
      <w:r>
        <w:t xml:space="preserve"> </w:t>
      </w:r>
      <w:r>
        <w:t xml:space="preserve">regulatory bodies, including the Department of Economic Development (DED) and the relevant Free Zone Authority.</w:t>
      </w:r>
    </w:p>
    <w:p>
      <w:pPr>
        <w:numPr>
          <w:ilvl w:val="0"/>
          <w:numId w:val="1001"/>
        </w:numPr>
        <w:pStyle w:val="Compact"/>
      </w:pPr>
      <w:r>
        <w:rPr>
          <w:bCs/>
          <w:b/>
        </w:rPr>
        <w:t xml:space="preserve">Management Letter:</w:t>
      </w:r>
      <w:r>
        <w:t xml:space="preserve"> </w:t>
      </w:r>
      <w:r>
        <w:t xml:space="preserve">A confidential letter to the Board of Directors highlighting observations, risks, and areas for improvement identified during the</w:t>
      </w:r>
      <w:r>
        <w:t xml:space="preserve"> </w:t>
      </w:r>
      <w:r>
        <w:t xml:space="preserve">Auditor</w:t>
      </w:r>
      <w:r>
        <w:t xml:space="preserve"> </w:t>
      </w:r>
      <w:r>
        <w:t xml:space="preserve">fieldwork.</w:t>
      </w:r>
    </w:p>
    <w:p>
      <w:pPr>
        <w:numPr>
          <w:ilvl w:val="0"/>
          <w:numId w:val="1001"/>
        </w:numPr>
        <w:pStyle w:val="Compact"/>
      </w:pPr>
      <w:r>
        <w:rPr>
          <w:bCs/>
          <w:b/>
        </w:rPr>
        <w:t xml:space="preserve">Post-Audit Support:</w:t>
      </w:r>
      <w:r>
        <w:t xml:space="preserve"> </w:t>
      </w:r>
      <w:r>
        <w:t xml:space="preserve">Up to 10 hours of advisory support following the issuance of the audit opinion, available at no additional charge.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Estimated 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Planning and Risk Assessment Phase (Auditor engagement letter, materiality setting, audit programme)</w:t>
            </w:r>
          </w:p>
        </w:tc>
        <w:tc>
          <w:tcPr/>
          <w:p>
            <w:pPr>
              <w:pStyle w:val="Compact"/>
              <w:jc w:val="left"/>
            </w:pPr>
            <w:r>
              <w:t xml:space="preserve">25</w:t>
            </w:r>
          </w:p>
        </w:tc>
        <w:tc>
          <w:tcPr/>
          <w:p>
            <w:pPr>
              <w:pStyle w:val="Compact"/>
              <w:jc w:val="left"/>
            </w:pPr>
            <w:r>
              <w:t xml:space="preserve">450</w:t>
            </w:r>
          </w:p>
        </w:tc>
        <w:tc>
          <w:tcPr/>
          <w:p>
            <w:pPr>
              <w:pStyle w:val="Compact"/>
              <w:jc w:val="left"/>
            </w:pPr>
            <w:r>
              <w:t xml:space="preserve">11,250.00</w:t>
            </w:r>
          </w:p>
        </w:tc>
      </w:tr>
      <w:tr>
        <w:tc>
          <w:tcPr/>
          <w:p>
            <w:pPr>
              <w:pStyle w:val="Compact"/>
              <w:jc w:val="left"/>
            </w:pPr>
            <w:r>
              <w:t xml:space="preserve">02</w:t>
            </w:r>
          </w:p>
        </w:tc>
        <w:tc>
          <w:tcPr/>
          <w:p>
            <w:pPr>
              <w:pStyle w:val="Compact"/>
              <w:jc w:val="left"/>
            </w:pPr>
            <w:r>
              <w:t xml:space="preserve">Fieldwork – Substantive Testing of Transactions and Balances</w:t>
            </w:r>
          </w:p>
        </w:tc>
        <w:tc>
          <w:tcPr/>
          <w:p>
            <w:pPr>
              <w:pStyle w:val="Compact"/>
              <w:jc w:val="left"/>
            </w:pPr>
            <w:r>
              <w:t xml:space="preserve">80</w:t>
            </w:r>
          </w:p>
        </w:tc>
        <w:tc>
          <w:tcPr/>
          <w:p>
            <w:pPr>
              <w:pStyle w:val="Compact"/>
              <w:jc w:val="left"/>
            </w:pPr>
            <w:r>
              <w:t xml:space="preserve">450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Internal Controls Testing and IT General Controls Review</w:t>
            </w:r>
          </w:p>
        </w:tc>
        <w:tc>
          <w:tcPr/>
          <w:p>
            <w:pPr>
              <w:pStyle w:val="Compact"/>
              <w:jc w:val="left"/>
            </w:pPr>
            <w:r>
              <w:t xml:space="preserve">30</w:t>
            </w:r>
          </w:p>
        </w:tc>
        <w:tc>
          <w:tcPr/>
          <w:p>
            <w:pPr>
              <w:pStyle w:val="Compact"/>
              <w:jc w:val="left"/>
            </w:pPr>
            <w:r>
              <w:t xml:space="preserve">500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Tax Compliance and Corporate Tax Reconciliation</w:t>
            </w:r>
          </w:p>
        </w:tc>
        <w:tc>
          <w:tcPr/>
          <w:p>
            <w:pPr>
              <w:pStyle w:val="Compact"/>
              <w:jc w:val="left"/>
            </w:pPr>
            <w:r>
              <w:t xml:space="preserve">20</w:t>
            </w:r>
          </w:p>
        </w:tc>
        <w:tc>
          <w:tcPr/>
          <w:p>
            <w:pPr>
              <w:pStyle w:val="Compact"/>
              <w:jc w:val="left"/>
            </w:pPr>
            <w:r>
              <w:t xml:space="preserve">500</w:t>
            </w:r>
          </w:p>
        </w:tc>
        <w:tc>
          <w:tcPr/>
          <w:p>
            <w:pPr>
              <w:pStyle w:val="Compact"/>
              <w:jc w:val="left"/>
            </w:pPr>
            <w:r>
              <w:t xml:space="preserve">10,000.00</w:t>
            </w:r>
          </w:p>
        </w:tc>
      </w:tr>
      <w:tr>
        <w:tc>
          <w:tcPr/>
          <w:p>
            <w:pPr>
              <w:pStyle w:val="Compact"/>
              <w:jc w:val="left"/>
            </w:pPr>
            <w:r>
              <w:t xml:space="preserve">05</w:t>
            </w:r>
          </w:p>
        </w:tc>
        <w:tc>
          <w:tcPr/>
          <w:p>
            <w:pPr>
              <w:pStyle w:val="Compact"/>
              <w:jc w:val="left"/>
            </w:pPr>
            <w:r>
              <w:t xml:space="preserve">Report Drafting, Review, and Issuance of Audit Opinion</w:t>
            </w:r>
          </w:p>
        </w:tc>
        <w:tc>
          <w:tcPr/>
          <w:p>
            <w:pPr>
              <w:pStyle w:val="Compact"/>
              <w:jc w:val="left"/>
            </w:pPr>
            <w:r>
              <w:t xml:space="preserve">25</w:t>
            </w:r>
          </w:p>
        </w:tc>
        <w:tc>
          <w:tcPr/>
          <w:p>
            <w:pPr>
              <w:pStyle w:val="Compact"/>
              <w:jc w:val="left"/>
            </w:pPr>
            <w:r>
              <w:t xml:space="preserve">550</w:t>
            </w:r>
          </w:p>
        </w:tc>
        <w:tc>
          <w:tcPr/>
          <w:p>
            <w:pPr>
              <w:pStyle w:val="Compact"/>
              <w:jc w:val="left"/>
            </w:pPr>
            <w:r>
              <w:t xml:space="preserve">13,750.00</w:t>
            </w:r>
          </w:p>
        </w:tc>
      </w:tr>
      <w:tr>
        <w:tc>
          <w:tcPr/>
          <w:p>
            <w:pPr>
              <w:pStyle w:val="Compact"/>
              <w:jc w:val="left"/>
            </w:pPr>
            <w:r>
              <w:t xml:space="preserve">06</w:t>
            </w:r>
          </w:p>
        </w:tc>
        <w:tc>
          <w:tcPr/>
          <w:p>
            <w:pPr>
              <w:pStyle w:val="Compact"/>
              <w:jc w:val="left"/>
            </w:pPr>
            <w:r>
              <w:t xml:space="preserve">Regulatory Filing and Submission (DED / Free Zone Authority, United Arab Emirates Dubai)</w:t>
            </w:r>
          </w:p>
        </w:tc>
        <w:tc>
          <w:tcPr/>
          <w:p>
            <w:pPr>
              <w:pStyle w:val="Compact"/>
              <w:jc w:val="left"/>
            </w:pPr>
            <w:r>
              <w:t xml:space="preserve">10</w:t>
            </w:r>
          </w:p>
        </w:tc>
        <w:tc>
          <w:tcPr/>
          <w:p>
            <w:pPr>
              <w:pStyle w:val="Compact"/>
              <w:jc w:val="left"/>
            </w:pPr>
            <w:r>
              <w:t xml:space="preserve">450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Management Letter and Post-Audit Advisory (10 hours included)</w:t>
            </w:r>
          </w:p>
        </w:tc>
        <w:tc>
          <w:tcPr/>
          <w:p>
            <w:pPr>
              <w:pStyle w:val="Compact"/>
              <w:jc w:val="left"/>
            </w:pPr>
            <w:r>
              <w:t xml:space="preserve">10</w:t>
            </w:r>
          </w:p>
        </w:tc>
        <w:tc>
          <w:tcPr/>
          <w:p>
            <w:pPr>
              <w:pStyle w:val="Compact"/>
              <w:jc w:val="left"/>
            </w:pPr>
            <w:r>
              <w:t xml:space="preserve">450</w:t>
            </w:r>
          </w:p>
        </w:tc>
        <w:tc>
          <w:tcPr/>
          <w:p>
            <w:pPr>
              <w:pStyle w:val="Compact"/>
              <w:jc w:val="left"/>
            </w:pPr>
            <w:r>
              <w:t xml:space="preserve">4,500.00</w:t>
            </w:r>
          </w:p>
        </w:tc>
      </w:tr>
      <w:tr>
        <w:tc>
          <w:tcPr>
            <w:gridSpan w:val="4"/>
          </w:tcPr>
          <w:p>
            <w:pPr>
              <w:pStyle w:val="Compact"/>
              <w:jc w:val="right"/>
            </w:pPr>
            <w:r>
              <w:t xml:space="preserve">Subtotal (AED)</w:t>
            </w:r>
          </w:p>
        </w:tc>
        <w:tc>
          <w:tcPr/>
          <w:p>
            <w:pPr>
              <w:pStyle w:val="Compact"/>
              <w:jc w:val="left"/>
            </w:pPr>
            <w:r>
              <w:t xml:space="preserve">95,000.00</w:t>
            </w:r>
          </w:p>
        </w:tc>
      </w:tr>
      <w:tr>
        <w:tc>
          <w:tcPr>
            <w:gridSpan w:val="4"/>
          </w:tcPr>
          <w:p>
            <w:pPr>
              <w:pStyle w:val="Compact"/>
              <w:jc w:val="right"/>
            </w:pPr>
            <w:r>
              <w:t xml:space="preserve">VAT @ 5% (United Arab Emirates Dubai)</w:t>
            </w:r>
          </w:p>
        </w:tc>
        <w:tc>
          <w:tcPr/>
          <w:p>
            <w:pPr>
              <w:pStyle w:val="Compact"/>
              <w:jc w:val="left"/>
            </w:pPr>
            <w:r>
              <w:t xml:space="preserve">4,750.00</w:t>
            </w:r>
          </w:p>
        </w:tc>
      </w:tr>
      <w:tr>
        <w:tc>
          <w:tcPr>
            <w:gridSpan w:val="4"/>
          </w:tcPr>
          <w:p>
            <w:pPr>
              <w:pStyle w:val="Compact"/>
              <w:jc w:val="right"/>
            </w:pPr>
            <w:r>
              <w:t xml:space="preserve">TOTAL AMOUNT DUE (AED)</w:t>
            </w:r>
          </w:p>
        </w:tc>
        <w:tc>
          <w:tcPr/>
          <w:p>
            <w:pPr>
              <w:pStyle w:val="Compact"/>
              <w:jc w:val="left"/>
            </w:pPr>
            <w:r>
              <w:t xml:space="preserve">99,750.00</w:t>
            </w:r>
          </w:p>
        </w:tc>
      </w:tr>
    </w:tbl>
    <w:p>
      <w:pPr>
        <w:pStyle w:val="BodyText"/>
      </w:pPr>
      <w:r>
        <w:rPr>
          <w:bCs/>
          <w:b/>
        </w:rPr>
        <w:t xml:space="preserve">Note:</w:t>
      </w:r>
      <w:r>
        <w:t xml:space="preserve"> </w:t>
      </w:r>
      <w:r>
        <w:t xml:space="preserve">All rates quoted in this Quotation Estimate are exclusive of any out-of-pocket expenses (travel, courier, third-party confirmations) which shall be billed at actual cost with prior written approval from the client. The total estimated engagement duration is approximately 200 professional hours.</w:t>
      </w:r>
    </w:p>
    <w:bookmarkEnd w:id="23"/>
    <w:bookmarkStart w:id="24" w:name="payment-terms-and-schedule"/>
    <w:p>
      <w:pPr>
        <w:pStyle w:val="Heading2"/>
      </w:pPr>
      <w:r>
        <w:t xml:space="preserve">4. Payment Terms and Schedule</w:t>
      </w:r>
    </w:p>
    <w:p>
      <w:pPr>
        <w:numPr>
          <w:ilvl w:val="0"/>
          <w:numId w:val="1002"/>
        </w:numPr>
        <w:pStyle w:val="Compact"/>
      </w:pPr>
      <w:r>
        <w:rPr>
          <w:bCs/>
          <w:b/>
        </w:rPr>
        <w:t xml:space="preserve">Advance Payment (40%):</w:t>
      </w:r>
      <w:r>
        <w:t xml:space="preserve"> </w:t>
      </w:r>
      <w:r>
        <w:t xml:space="preserve">AED 39,900.00 due upon execution of the Auditor engagement letter and acceptance of this Quotation Estimate.</w:t>
      </w:r>
    </w:p>
    <w:p>
      <w:pPr>
        <w:numPr>
          <w:ilvl w:val="0"/>
          <w:numId w:val="1002"/>
        </w:numPr>
        <w:pStyle w:val="Compact"/>
      </w:pPr>
      <w:r>
        <w:rPr>
          <w:bCs/>
          <w:b/>
        </w:rPr>
        <w:t xml:space="preserve">Interim Payment (40%):</w:t>
      </w:r>
      <w:r>
        <w:t xml:space="preserve"> </w:t>
      </w:r>
      <w:r>
        <w:t xml:space="preserve">AED 39,900.00 due upon completion of fieldwork and delivery of the draft audit report for client review.</w:t>
      </w:r>
    </w:p>
    <w:p>
      <w:pPr>
        <w:numPr>
          <w:ilvl w:val="0"/>
          <w:numId w:val="1002"/>
        </w:numPr>
        <w:pStyle w:val="Compact"/>
      </w:pPr>
      <w:r>
        <w:rPr>
          <w:bCs/>
          <w:b/>
        </w:rPr>
        <w:t xml:space="preserve">Final Payment (20%):</w:t>
      </w:r>
      <w:r>
        <w:t xml:space="preserve"> </w:t>
      </w:r>
      <w:r>
        <w:t xml:space="preserve">AED 19,950.00 due upon issuance of the final signed audit opinion and submission of regulatory filings in the United Arab Emirates Dubai.</w:t>
      </w:r>
    </w:p>
    <w:p>
      <w:pPr>
        <w:numPr>
          <w:ilvl w:val="0"/>
          <w:numId w:val="1002"/>
        </w:numPr>
        <w:pStyle w:val="Compact"/>
      </w:pPr>
      <w:r>
        <w:t xml:space="preserve">All payments shall be made via bank transfer to the firm's designated corporate account. Invoices are payable within 14 calendar days of the invoice date. Late payments shall attract a penalty of 2% per month as per UAE commercial practice.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30 calendar days from the date of issue. Beyond this period, fees and availability of the assigned Auditor team are subject to reconfirmation.</w:t>
      </w:r>
    </w:p>
    <w:p>
      <w:pPr>
        <w:numPr>
          <w:ilvl w:val="0"/>
          <w:numId w:val="1003"/>
        </w:numPr>
        <w:pStyle w:val="Compact"/>
      </w:pPr>
      <w:r>
        <w:t xml:space="preserve">The Auditor shall maintain strict professional independence and confidentiality in accordance with the UAE Code of Ethics for Professional Accountants and the International Ethics Standards Board for Accountants (IESBA) Code.</w:t>
      </w:r>
    </w:p>
    <w:p>
      <w:pPr>
        <w:numPr>
          <w:ilvl w:val="0"/>
          <w:numId w:val="1003"/>
        </w:numPr>
        <w:pStyle w:val="Compact"/>
      </w:pPr>
      <w:r>
        <w:t xml:space="preserve">The client agrees to provide timely access to all books of account, supporting documentation, bank statements, and personnel necessary for the Auditor to perform the engagement without undue delay.</w:t>
      </w:r>
    </w:p>
    <w:p>
      <w:pPr>
        <w:numPr>
          <w:ilvl w:val="0"/>
          <w:numId w:val="1003"/>
        </w:numPr>
        <w:pStyle w:val="Compact"/>
      </w:pPr>
      <w:r>
        <w:t xml:space="preserve">Liability of the Auditor under this engagement is limited to the total fees paid under this Quotation Estimate, except in cases of gross negligence or wilful misconduct.</w:t>
      </w:r>
    </w:p>
    <w:p>
      <w:pPr>
        <w:numPr>
          <w:ilvl w:val="0"/>
          <w:numId w:val="1003"/>
        </w:numPr>
        <w:pStyle w:val="Compact"/>
      </w:pPr>
      <w:r>
        <w:t xml:space="preserve">This engagement is governed by the laws of the United Arab Emirates, and any disputes shall be subject to the exclusive jurisdiction of the courts of Dubai, United Arab Emirates.</w:t>
      </w:r>
    </w:p>
    <w:p>
      <w:pPr>
        <w:numPr>
          <w:ilvl w:val="0"/>
          <w:numId w:val="1003"/>
        </w:numPr>
        <w:pStyle w:val="Compact"/>
      </w:pPr>
      <w:r>
        <w:t xml:space="preserve">The Auditor reserves the right to withdraw from the engagement with 14 days' written notice in the event of material non-cooperation by the client or a breach of the terms herein.</w:t>
      </w:r>
    </w:p>
    <w:bookmarkEnd w:id="25"/>
    <w:bookmarkStart w:id="26" w:name="assumptions-and-exclusions"/>
    <w:p>
      <w:pPr>
        <w:pStyle w:val="Heading2"/>
      </w:pPr>
      <w:r>
        <w:t xml:space="preserve">6. Assumptions and Exclusions</w:t>
      </w:r>
    </w:p>
    <w:p>
      <w:pPr>
        <w:pStyle w:val="FirstParagraph"/>
      </w:pPr>
      <w:r>
        <w:t xml:space="preserve">This Quotation Estimate assumes that the client's accounting records are maintained in accordance with IFRS as issued by the IASB and that no material irregularities or fraud are present. Services excluded from this estimate include forensic auditing, litigation support, tax advisory beyond compliance, and any additional audit procedures arising from scope changes requested by the client after the engagement letter is signed. Any such additional work shall be subject to a separate written amendment to this Quotation Estimate.</w:t>
      </w:r>
    </w:p>
    <w:bookmarkEnd w:id="26"/>
    <w:bookmarkStart w:id="29"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and fee structures set forth in this Quotation Estimate for the Auditor engagement in the United Arab Emirates Dubai.</w:t>
      </w:r>
    </w:p>
    <w:bookmarkStart w:id="27" w:name="for-meridian-audit-advisory-services-llc"/>
    <w:p>
      <w:pPr>
        <w:pStyle w:val="Heading4"/>
      </w:pPr>
      <w:r>
        <w:t xml:space="preserve">For Meridian Audit &amp; Advisory Services LLC</w:t>
      </w:r>
    </w:p>
    <w:p>
      <w:pPr>
        <w:pStyle w:val="FirstParagraph"/>
      </w:pPr>
      <w:r>
        <w:t xml:space="preserve">Name: ___________________________</w:t>
      </w:r>
    </w:p>
    <w:p>
      <w:pPr>
        <w:pStyle w:val="BodyText"/>
      </w:pPr>
      <w:r>
        <w:t xml:space="preserve">Title: Managing Partner / Lead Auditor</w:t>
      </w:r>
    </w:p>
    <w:p>
      <w:pPr>
        <w:pStyle w:val="BodyText"/>
      </w:pPr>
      <w:r>
        <w:t xml:space="preserve">Signature &amp; Date</w:t>
      </w:r>
    </w:p>
    <w:bookmarkEnd w:id="27"/>
    <w:bookmarkStart w:id="28" w:name="for-al-noor-trading-fze-client"/>
    <w:p>
      <w:pPr>
        <w:pStyle w:val="Heading4"/>
      </w:pPr>
      <w:r>
        <w:t xml:space="preserve">For Al Noor Trading FZE (Client)</w:t>
      </w:r>
    </w:p>
    <w:p>
      <w:pPr>
        <w:pStyle w:val="FirstParagraph"/>
      </w:pPr>
      <w:r>
        <w:t xml:space="preserve">Name: ___________________________</w:t>
      </w:r>
    </w:p>
    <w:p>
      <w:pPr>
        <w:pStyle w:val="BodyText"/>
      </w:pPr>
      <w:r>
        <w:t xml:space="preserve">Title: ___________________________</w:t>
      </w:r>
    </w:p>
    <w:p>
      <w:pPr>
        <w:pStyle w:val="BodyText"/>
      </w:pPr>
      <w:r>
        <w:t xml:space="preserve">Signature &amp; Date</w:t>
      </w:r>
    </w:p>
    <w:bookmarkEnd w:id="28"/>
    <w:p>
      <w:pPr>
        <w:pStyle w:val="BodyText"/>
      </w:pPr>
      <w:r>
        <w:t xml:space="preserve">Meridian Audit &amp; Advisory Services LLC | Dubai International Financial Centre, United Arab Emirates Dubai</w:t>
      </w:r>
    </w:p>
    <w:p>
      <w:pPr>
        <w:pStyle w:val="BodyText"/>
      </w:pPr>
      <w:r>
        <w:t xml:space="preserve">License No. DIFC-2019-00482 | This Quotation Estimate is a confidential document intended solely for the named recipient.</w:t>
      </w:r>
    </w:p>
    <w:p>
      <w:pPr>
        <w:pStyle w:val="BodyText"/>
      </w:pPr>
      <w:r>
        <w:t xml:space="preserve">Page 1 of 1 | Generated: 14 June 2025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United Arab Emirates Dubai</dc:title>
  <dc:creator/>
  <dc:language>en</dc:language>
  <cp:keywords/>
  <dcterms:created xsi:type="dcterms:W3CDTF">2026-10-10T02:42:47Z</dcterms:created>
  <dcterms:modified xsi:type="dcterms:W3CDTF">2026-10-10T02:42:47Z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