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Auditor</w:t>
      </w:r>
      <w:r>
        <w:t xml:space="preserve"> </w:t>
      </w:r>
      <w:r>
        <w:t xml:space="preserve">Services</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quotation-estimate"/>
    <w:p>
      <w:pPr>
        <w:pStyle w:val="Heading1"/>
      </w:pPr>
      <w:r>
        <w:t xml:space="preserve">Quotation Estimate</w:t>
      </w:r>
    </w:p>
    <w:p>
      <w:pPr>
        <w:pStyle w:val="FirstParagraph"/>
      </w:pPr>
      <w:r>
        <w:t xml:space="preserve">Professional Auditor Services — United Kingdom London</w:t>
      </w:r>
    </w:p>
    <w:p>
      <w:pPr>
        <w:pStyle w:val="BodyText"/>
      </w:pPr>
      <w:r>
        <w:t xml:space="preserve">Ref: QE-AUD-LON-2025-0472 | Issued: 14 June 2025</w:t>
      </w:r>
    </w:p>
    <w:bookmarkEnd w:id="20"/>
    <w:bookmarkStart w:id="21" w:name="prepared-by"/>
    <w:p>
      <w:pPr>
        <w:pStyle w:val="Heading3"/>
      </w:pPr>
      <w:r>
        <w:t xml:space="preserve">Prepared By</w:t>
      </w:r>
    </w:p>
    <w:p>
      <w:pPr>
        <w:pStyle w:val="FirstParagraph"/>
      </w:pPr>
      <w:r>
        <w:rPr>
          <w:bCs/>
          <w:b/>
        </w:rPr>
        <w:t xml:space="preserve">Meridian Audit &amp; Assurance LLP</w:t>
      </w:r>
    </w:p>
    <w:p>
      <w:pPr>
        <w:pStyle w:val="BodyText"/>
      </w:pPr>
      <w:r>
        <w:t xml:space="preserve">12 Finsbury Avenue, The Moorgate</w:t>
      </w:r>
    </w:p>
    <w:p>
      <w:pPr>
        <w:pStyle w:val="BodyText"/>
      </w:pPr>
      <w:r>
        <w:t xml:space="preserve">London, EC2M 7EB</w:t>
      </w:r>
    </w:p>
    <w:p>
      <w:pPr>
        <w:pStyle w:val="BodyText"/>
      </w:pPr>
      <w:r>
        <w:t xml:space="preserve">United Kingdom</w:t>
      </w:r>
    </w:p>
    <w:p>
      <w:pPr>
        <w:pStyle w:val="BodyText"/>
      </w:pPr>
      <w:r>
        <w:t xml:space="preserve">Tel: +44 (0)20 7946 0832</w:t>
      </w:r>
    </w:p>
    <w:p>
      <w:pPr>
        <w:pStyle w:val="BodyText"/>
      </w:pPr>
      <w:r>
        <w:t xml:space="preserve">Email: quotations@meridianaudit.co.uk</w:t>
      </w:r>
    </w:p>
    <w:p>
      <w:pPr>
        <w:pStyle w:val="BodyText"/>
      </w:pPr>
      <w:r>
        <w:t xml:space="preserve">VAT No: GB 987 6543 21</w:t>
      </w:r>
    </w:p>
    <w:bookmarkEnd w:id="21"/>
    <w:bookmarkStart w:id="22" w:name="prepared-for"/>
    <w:p>
      <w:pPr>
        <w:pStyle w:val="Heading3"/>
      </w:pPr>
      <w:r>
        <w:t xml:space="preserve">Prepared For</w:t>
      </w:r>
    </w:p>
    <w:p>
      <w:pPr>
        <w:pStyle w:val="FirstParagraph"/>
      </w:pPr>
      <w:r>
        <w:rPr>
          <w:bCs/>
          <w:b/>
        </w:rPr>
        <w:t xml:space="preserve">Thameside Holdings Limited</w:t>
      </w:r>
    </w:p>
    <w:p>
      <w:pPr>
        <w:pStyle w:val="BodyText"/>
      </w:pPr>
      <w:r>
        <w:t xml:space="preserve">45 Cannon Street, Level 12</w:t>
      </w:r>
    </w:p>
    <w:p>
      <w:pPr>
        <w:pStyle w:val="BodyText"/>
      </w:pPr>
      <w:r>
        <w:t xml:space="preserve">London, EC4N 6JJ</w:t>
      </w:r>
    </w:p>
    <w:p>
      <w:pPr>
        <w:pStyle w:val="BodyText"/>
      </w:pPr>
      <w:r>
        <w:t xml:space="preserve">United Kingdom</w:t>
      </w:r>
    </w:p>
    <w:p>
      <w:pPr>
        <w:pStyle w:val="BodyText"/>
      </w:pPr>
      <w:r>
        <w:t xml:space="preserve">Attn: Mr. David Whitmore, CFO</w:t>
      </w:r>
    </w:p>
    <w:p>
      <w:pPr>
        <w:pStyle w:val="BodyText"/>
      </w:pPr>
      <w:r>
        <w:t xml:space="preserve">Tel: +44 (0)20 7845 2210</w:t>
      </w:r>
    </w:p>
    <w:p>
      <w:pPr>
        <w:pStyle w:val="BodyText"/>
      </w:pPr>
      <w:r>
        <w:t xml:space="preserve">Email: d.whitmore@thamesideholdings.co.uk</w:t>
      </w:r>
    </w:p>
    <w:bookmarkEnd w:id="22"/>
    <w:bookmarkStart w:id="23"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Meridian Audit &amp; Assurance LLP to provide Thameside Holdings Limited with a comprehensive and itemised financial projection for the engagement of a qualified</w:t>
      </w:r>
      <w:r>
        <w:t xml:space="preserve"> </w:t>
      </w:r>
      <w:r>
        <w:t xml:space="preserve">Auditor</w:t>
      </w:r>
      <w:r>
        <w:t xml:space="preserve"> </w:t>
      </w:r>
      <w:r>
        <w:t xml:space="preserve">to conduct statutory and internal audit services. All services described herein will be delivered in accordance with the standards set by the Institute of Chartered Accountants in England and Wales (ICAEW) and the Financial Reporting Council (FRC) within the jurisdiction of</w:t>
      </w:r>
      <w:r>
        <w:t xml:space="preserve"> </w:t>
      </w:r>
      <w:r>
        <w:t xml:space="preserve">United Kingdom London</w:t>
      </w:r>
      <w:r>
        <w:t xml:space="preserve">. This document constitutes a formal</w:t>
      </w:r>
      <w:r>
        <w:t xml:space="preserve"> </w:t>
      </w:r>
      <w:r>
        <w:t xml:space="preserve">Quotation Estimate</w:t>
      </w:r>
      <w:r>
        <w:t xml:space="preserve"> </w:t>
      </w:r>
      <w:r>
        <w:t xml:space="preserve">and does not represent a binding contract until countersigned by both parties.</w:t>
      </w:r>
    </w:p>
    <w:bookmarkEnd w:id="23"/>
    <w:bookmarkStart w:id="24" w:name="scope-of-auditor-services"/>
    <w:p>
      <w:pPr>
        <w:pStyle w:val="Heading2"/>
      </w:pPr>
      <w:r>
        <w:t xml:space="preserve">2. Scope of Auditor Services</w:t>
      </w:r>
    </w:p>
    <w:p>
      <w:pPr>
        <w:pStyle w:val="FirstParagraph"/>
      </w:pPr>
      <w:r>
        <w:t xml:space="preserve">The appointed</w:t>
      </w:r>
      <w:r>
        <w:t xml:space="preserve"> </w:t>
      </w:r>
      <w:r>
        <w:t xml:space="preserve">Auditor</w:t>
      </w:r>
      <w:r>
        <w:t xml:space="preserve"> </w:t>
      </w:r>
      <w:r>
        <w:t xml:space="preserve">will perform the following duties for the financial year ending 31 March 2026, operating primarily from our offices in the City of London and at the client's premises in</w:t>
      </w:r>
      <w:r>
        <w:t xml:space="preserve"> </w:t>
      </w:r>
      <w:r>
        <w:t xml:space="preserve">United Kingdom London</w:t>
      </w:r>
      <w:r>
        <w:t xml:space="preserve">:</w:t>
      </w:r>
    </w:p>
    <w:p>
      <w:pPr>
        <w:numPr>
          <w:ilvl w:val="0"/>
          <w:numId w:val="1001"/>
        </w:numPr>
        <w:pStyle w:val="Compact"/>
      </w:pPr>
      <w:r>
        <w:t xml:space="preserve">Statutory audit of the consolidated financial statements in compliance with UK Companies Act 2006 and International Standards on Auditing (ISAs) as applied in the United Kingdom.</w:t>
      </w:r>
    </w:p>
    <w:p>
      <w:pPr>
        <w:numPr>
          <w:ilvl w:val="0"/>
          <w:numId w:val="1001"/>
        </w:numPr>
        <w:pStyle w:val="Compact"/>
      </w:pPr>
      <w:r>
        <w:t xml:space="preserve">Internal control review and risk assessment across all operational divisions headquartered in London.</w:t>
      </w:r>
    </w:p>
    <w:p>
      <w:pPr>
        <w:numPr>
          <w:ilvl w:val="0"/>
          <w:numId w:val="1001"/>
        </w:numPr>
        <w:pStyle w:val="Compact"/>
      </w:pPr>
      <w:r>
        <w:t xml:space="preserve">Compliance verification against HM Revenue &amp; Customs (HMRC) reporting obligations and FCA regulatory requirements.</w:t>
      </w:r>
    </w:p>
    <w:p>
      <w:pPr>
        <w:numPr>
          <w:ilvl w:val="0"/>
          <w:numId w:val="1001"/>
        </w:numPr>
        <w:pStyle w:val="Compact"/>
      </w:pPr>
      <w:r>
        <w:t xml:space="preserve">Forensic audit support for any identified irregularities or suspected fraud within the</w:t>
      </w:r>
      <w:r>
        <w:t xml:space="preserve"> </w:t>
      </w:r>
      <w:r>
        <w:t xml:space="preserve">United Kingdom London</w:t>
      </w:r>
      <w:r>
        <w:t xml:space="preserve"> </w:t>
      </w:r>
      <w:r>
        <w:t xml:space="preserve">business operations.</w:t>
      </w:r>
    </w:p>
    <w:p>
      <w:pPr>
        <w:numPr>
          <w:ilvl w:val="0"/>
          <w:numId w:val="1001"/>
        </w:numPr>
        <w:pStyle w:val="Compact"/>
      </w:pPr>
      <w:r>
        <w:t xml:space="preserve">Preparation of the Auditor's Report and management letter to be delivered to the Board of Directors.</w:t>
      </w:r>
    </w:p>
    <w:p>
      <w:pPr>
        <w:numPr>
          <w:ilvl w:val="0"/>
          <w:numId w:val="1001"/>
        </w:numPr>
        <w:pStyle w:val="Compact"/>
      </w:pPr>
      <w:r>
        <w:t xml:space="preserve">Advisory consultations (up to 20 hours) regarding internal governance frameworks and audit committee recommendations.</w:t>
      </w:r>
    </w:p>
    <w:bookmarkEnd w:id="24"/>
    <w:bookmarkStart w:id="25" w:name="itemised-quotation-estimate-breakdown"/>
    <w:p>
      <w:pPr>
        <w:pStyle w:val="Heading2"/>
      </w:pPr>
      <w:r>
        <w:t xml:space="preserve">3. Itemised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Ref</w:t>
            </w:r>
          </w:p>
        </w:tc>
        <w:tc>
          <w:tcPr/>
          <w:p>
            <w:pPr>
              <w:pStyle w:val="Compact"/>
              <w:jc w:val="left"/>
            </w:pPr>
            <w:r>
              <w:t xml:space="preserve">Description of Auditor Service</w:t>
            </w:r>
          </w:p>
        </w:tc>
        <w:tc>
          <w:tcPr/>
          <w:p>
            <w:pPr>
              <w:pStyle w:val="Compact"/>
              <w:jc w:val="left"/>
            </w:pPr>
            <w:r>
              <w:t xml:space="preserve">Hours</w:t>
            </w:r>
          </w:p>
        </w:tc>
        <w:tc>
          <w:tcPr/>
          <w:p>
            <w:pPr>
              <w:pStyle w:val="Compact"/>
              <w:jc w:val="left"/>
            </w:pPr>
            <w:r>
              <w:t xml:space="preserve">Rate (GBP)</w:t>
            </w:r>
          </w:p>
        </w:tc>
        <w:tc>
          <w:tcPr/>
          <w:p>
            <w:pPr>
              <w:pStyle w:val="Compact"/>
              <w:jc w:val="left"/>
            </w:pPr>
            <w:r>
              <w:t xml:space="preserve">Amount (GBP)</w:t>
            </w:r>
          </w:p>
        </w:tc>
        <w:tc>
          <w:tcPr/>
          <w:p>
            <w:pPr>
              <w:pStyle w:val="Compact"/>
              <w:jc w:val="left"/>
            </w:pPr>
            <w:r>
              <w:t xml:space="preserve">VAT (20%)</w:t>
            </w:r>
          </w:p>
        </w:tc>
      </w:tr>
      <w:tr>
        <w:tc>
          <w:tcPr/>
          <w:p>
            <w:pPr>
              <w:pStyle w:val="Compact"/>
              <w:jc w:val="left"/>
            </w:pPr>
            <w:r>
              <w:t xml:space="preserve">01</w:t>
            </w:r>
          </w:p>
        </w:tc>
        <w:tc>
          <w:tcPr/>
          <w:p>
            <w:pPr>
              <w:pStyle w:val="Compact"/>
              <w:jc w:val="left"/>
            </w:pPr>
            <w:r>
              <w:t xml:space="preserve">Planning &amp; Risk Assessment — Initial engagement of the Auditor, scoping meetings in London, and development of the audit strategy document.</w:t>
            </w:r>
          </w:p>
        </w:tc>
        <w:tc>
          <w:tcPr/>
          <w:p>
            <w:pPr>
              <w:pStyle w:val="Compact"/>
              <w:jc w:val="left"/>
            </w:pPr>
            <w:r>
              <w:t xml:space="preserve">40</w:t>
            </w:r>
          </w:p>
        </w:tc>
        <w:tc>
          <w:tcPr/>
          <w:p>
            <w:pPr>
              <w:pStyle w:val="Compact"/>
              <w:jc w:val="left"/>
            </w:pPr>
            <w:r>
              <w:t xml:space="preserve">£185.00</w:t>
            </w:r>
          </w:p>
        </w:tc>
        <w:tc>
          <w:tcPr/>
          <w:p>
            <w:pPr>
              <w:pStyle w:val="Compact"/>
              <w:jc w:val="left"/>
            </w:pPr>
            <w:r>
              <w:t xml:space="preserve">£7,400.00</w:t>
            </w:r>
          </w:p>
        </w:tc>
        <w:tc>
          <w:tcPr/>
          <w:p>
            <w:pPr>
              <w:pStyle w:val="Compact"/>
              <w:jc w:val="left"/>
            </w:pPr>
            <w:r>
              <w:t xml:space="preserve">£1,480.00</w:t>
            </w:r>
          </w:p>
        </w:tc>
      </w:tr>
      <w:tr>
        <w:tc>
          <w:tcPr/>
          <w:p>
            <w:pPr>
              <w:pStyle w:val="Compact"/>
              <w:jc w:val="left"/>
            </w:pPr>
            <w:r>
              <w:t xml:space="preserve">02</w:t>
            </w:r>
          </w:p>
        </w:tc>
        <w:tc>
          <w:tcPr/>
          <w:p>
            <w:pPr>
              <w:pStyle w:val="Compact"/>
              <w:jc w:val="left"/>
            </w:pPr>
            <w:r>
              <w:t xml:space="preserve">Fieldwork — Substantive testing, sampling of transactions, and verification of balances conducted at the client's London offices and our</w:t>
            </w:r>
            <w:r>
              <w:t xml:space="preserve"> </w:t>
            </w:r>
            <w:r>
              <w:t xml:space="preserve">United Kingdom London</w:t>
            </w:r>
            <w:r>
              <w:t xml:space="preserve"> </w:t>
            </w:r>
            <w:r>
              <w:t xml:space="preserve">headquarters.</w:t>
            </w:r>
          </w:p>
        </w:tc>
        <w:tc>
          <w:tcPr/>
          <w:p>
            <w:pPr>
              <w:pStyle w:val="Compact"/>
              <w:jc w:val="left"/>
            </w:pPr>
            <w:r>
              <w:t xml:space="preserve">120</w:t>
            </w:r>
          </w:p>
        </w:tc>
        <w:tc>
          <w:tcPr/>
          <w:p>
            <w:pPr>
              <w:pStyle w:val="Compact"/>
              <w:jc w:val="left"/>
            </w:pPr>
            <w:r>
              <w:t xml:space="preserve">£165.00</w:t>
            </w:r>
          </w:p>
        </w:tc>
        <w:tc>
          <w:tcPr/>
          <w:p>
            <w:pPr>
              <w:pStyle w:val="Compact"/>
              <w:jc w:val="left"/>
            </w:pPr>
            <w:r>
              <w:t xml:space="preserve">£19,800.00</w:t>
            </w:r>
          </w:p>
        </w:tc>
        <w:tc>
          <w:tcPr/>
          <w:p>
            <w:pPr>
              <w:pStyle w:val="Compact"/>
              <w:jc w:val="left"/>
            </w:pPr>
            <w:r>
              <w:t xml:space="preserve">£3,960.00</w:t>
            </w:r>
          </w:p>
        </w:tc>
      </w:tr>
      <w:tr>
        <w:tc>
          <w:tcPr/>
          <w:p>
            <w:pPr>
              <w:pStyle w:val="Compact"/>
              <w:jc w:val="left"/>
            </w:pPr>
            <w:r>
              <w:t xml:space="preserve">03</w:t>
            </w:r>
          </w:p>
        </w:tc>
        <w:tc>
          <w:tcPr/>
          <w:p>
            <w:pPr>
              <w:pStyle w:val="Compact"/>
              <w:jc w:val="left"/>
            </w:pPr>
            <w:r>
              <w:t xml:space="preserve">Internal Audit &amp; Control Review — Evaluation of internal controls, segregation of duties, and IT general controls across all London-based entities.</w:t>
            </w:r>
          </w:p>
        </w:tc>
        <w:tc>
          <w:tcPr/>
          <w:p>
            <w:pPr>
              <w:pStyle w:val="Compact"/>
              <w:jc w:val="left"/>
            </w:pPr>
            <w:r>
              <w:t xml:space="preserve">60</w:t>
            </w:r>
          </w:p>
        </w:tc>
        <w:tc>
          <w:tcPr/>
          <w:p>
            <w:pPr>
              <w:pStyle w:val="Compact"/>
              <w:jc w:val="left"/>
            </w:pPr>
            <w:r>
              <w:t xml:space="preserve">£175.00</w:t>
            </w:r>
          </w:p>
        </w:tc>
        <w:tc>
          <w:tcPr/>
          <w:p>
            <w:pPr>
              <w:pStyle w:val="Compact"/>
              <w:jc w:val="left"/>
            </w:pPr>
            <w:r>
              <w:t xml:space="preserve">£10,500.00</w:t>
            </w:r>
          </w:p>
        </w:tc>
        <w:tc>
          <w:tcPr/>
          <w:p>
            <w:pPr>
              <w:pStyle w:val="Compact"/>
              <w:jc w:val="left"/>
            </w:pPr>
            <w:r>
              <w:t xml:space="preserve">£2,100.00</w:t>
            </w:r>
          </w:p>
        </w:tc>
      </w:tr>
      <w:tr>
        <w:tc>
          <w:tcPr/>
          <w:p>
            <w:pPr>
              <w:pStyle w:val="Compact"/>
              <w:jc w:val="left"/>
            </w:pPr>
            <w:r>
              <w:t xml:space="preserve">04</w:t>
            </w:r>
          </w:p>
        </w:tc>
        <w:tc>
          <w:tcPr/>
          <w:p>
            <w:pPr>
              <w:pStyle w:val="Compact"/>
              <w:jc w:val="left"/>
            </w:pPr>
            <w:r>
              <w:t xml:space="preserve">Compliance &amp; Regulatory Reporting — HMRC, FCA, and Companies House filings preparation and review within the</w:t>
            </w:r>
            <w:r>
              <w:t xml:space="preserve"> </w:t>
            </w:r>
            <w:r>
              <w:t xml:space="preserve">United Kingdom London</w:t>
            </w:r>
            <w:r>
              <w:t xml:space="preserve"> </w:t>
            </w:r>
            <w:r>
              <w:t xml:space="preserve">regulatory framework.</w:t>
            </w:r>
          </w:p>
        </w:tc>
        <w:tc>
          <w:tcPr/>
          <w:p>
            <w:pPr>
              <w:pStyle w:val="Compact"/>
              <w:jc w:val="left"/>
            </w:pPr>
            <w:r>
              <w:t xml:space="preserve">35</w:t>
            </w:r>
          </w:p>
        </w:tc>
        <w:tc>
          <w:tcPr/>
          <w:p>
            <w:pPr>
              <w:pStyle w:val="Compact"/>
              <w:jc w:val="left"/>
            </w:pPr>
            <w:r>
              <w:t xml:space="preserve">£195.00</w:t>
            </w:r>
          </w:p>
        </w:tc>
        <w:tc>
          <w:tcPr/>
          <w:p>
            <w:pPr>
              <w:pStyle w:val="Compact"/>
              <w:jc w:val="left"/>
            </w:pPr>
            <w:r>
              <w:t xml:space="preserve">£6,825.00</w:t>
            </w:r>
          </w:p>
        </w:tc>
        <w:tc>
          <w:tcPr/>
          <w:p>
            <w:pPr>
              <w:pStyle w:val="Compact"/>
              <w:jc w:val="left"/>
            </w:pPr>
            <w:r>
              <w:t xml:space="preserve">£1,365.00</w:t>
            </w:r>
          </w:p>
        </w:tc>
      </w:tr>
      <w:tr>
        <w:tc>
          <w:tcPr/>
          <w:p>
            <w:pPr>
              <w:pStyle w:val="Compact"/>
              <w:jc w:val="left"/>
            </w:pPr>
            <w:r>
              <w:t xml:space="preserve">05</w:t>
            </w:r>
          </w:p>
        </w:tc>
        <w:tc>
          <w:tcPr/>
          <w:p>
            <w:pPr>
              <w:pStyle w:val="Compact"/>
              <w:jc w:val="left"/>
            </w:pPr>
            <w:r>
              <w:t xml:space="preserve">Auditor's Report &amp; Management Letter — Drafting, review, and finalisation of the statutory Auditor's Report and accompanying management letter.</w:t>
            </w:r>
          </w:p>
        </w:tc>
        <w:tc>
          <w:tcPr/>
          <w:p>
            <w:pPr>
              <w:pStyle w:val="Compact"/>
              <w:jc w:val="left"/>
            </w:pPr>
            <w:r>
              <w:t xml:space="preserve">25</w:t>
            </w:r>
          </w:p>
        </w:tc>
        <w:tc>
          <w:tcPr/>
          <w:p>
            <w:pPr>
              <w:pStyle w:val="Compact"/>
              <w:jc w:val="left"/>
            </w:pPr>
            <w:r>
              <w:t xml:space="preserve">£210.00</w:t>
            </w:r>
          </w:p>
        </w:tc>
        <w:tc>
          <w:tcPr/>
          <w:p>
            <w:pPr>
              <w:pStyle w:val="Compact"/>
              <w:jc w:val="left"/>
            </w:pPr>
            <w:r>
              <w:t xml:space="preserve">£5,250.00</w:t>
            </w:r>
          </w:p>
        </w:tc>
        <w:tc>
          <w:tcPr/>
          <w:p>
            <w:pPr>
              <w:pStyle w:val="Compact"/>
              <w:jc w:val="left"/>
            </w:pPr>
            <w:r>
              <w:t xml:space="preserve">£1,050.00</w:t>
            </w:r>
          </w:p>
        </w:tc>
      </w:tr>
      <w:tr>
        <w:tc>
          <w:tcPr/>
          <w:p>
            <w:pPr>
              <w:pStyle w:val="Compact"/>
              <w:jc w:val="left"/>
            </w:pPr>
            <w:r>
              <w:t xml:space="preserve">06</w:t>
            </w:r>
          </w:p>
        </w:tc>
        <w:tc>
          <w:tcPr/>
          <w:p>
            <w:pPr>
              <w:pStyle w:val="Compact"/>
              <w:jc w:val="left"/>
            </w:pPr>
            <w:r>
              <w:t xml:space="preserve">Advisory &amp; Governance Consultation — Up to 20 hours of strategic advisory sessions with the Audit Committee in London.</w:t>
            </w:r>
          </w:p>
        </w:tc>
        <w:tc>
          <w:tcPr/>
          <w:p>
            <w:pPr>
              <w:pStyle w:val="Compact"/>
              <w:jc w:val="left"/>
            </w:pPr>
            <w:r>
              <w:t xml:space="preserve">20</w:t>
            </w:r>
          </w:p>
        </w:tc>
        <w:tc>
          <w:tcPr/>
          <w:p>
            <w:pPr>
              <w:pStyle w:val="Compact"/>
              <w:jc w:val="left"/>
            </w:pPr>
            <w:r>
              <w:t xml:space="preserve">£225.00</w:t>
            </w:r>
          </w:p>
        </w:tc>
        <w:tc>
          <w:tcPr/>
          <w:p>
            <w:pPr>
              <w:pStyle w:val="Compact"/>
              <w:jc w:val="left"/>
            </w:pPr>
            <w:r>
              <w:t xml:space="preserve">£4,500.00</w:t>
            </w:r>
          </w:p>
        </w:tc>
        <w:tc>
          <w:tcPr/>
          <w:p>
            <w:pPr>
              <w:pStyle w:val="Compact"/>
              <w:jc w:val="left"/>
            </w:pPr>
            <w:r>
              <w:t xml:space="preserve">£900.00</w:t>
            </w:r>
          </w:p>
        </w:tc>
      </w:tr>
      <w:tr>
        <w:tc>
          <w:tcPr/>
          <w:p>
            <w:pPr>
              <w:pStyle w:val="Compact"/>
              <w:jc w:val="left"/>
            </w:pPr>
            <w:r>
              <w:t xml:space="preserve">07</w:t>
            </w:r>
          </w:p>
        </w:tc>
        <w:tc>
          <w:tcPr/>
          <w:p>
            <w:pPr>
              <w:pStyle w:val="Compact"/>
              <w:jc w:val="left"/>
            </w:pPr>
            <w:r>
              <w:t xml:space="preserve">Travel &amp; Local Expenses — Travel within the</w:t>
            </w:r>
            <w:r>
              <w:t xml:space="preserve"> </w:t>
            </w:r>
            <w:r>
              <w:t xml:space="preserve">United Kingdom London</w:t>
            </w:r>
            <w:r>
              <w:t xml:space="preserve"> </w:t>
            </w:r>
            <w:r>
              <w:t xml:space="preserve">metropolitan area, parking, and incidental costs.</w:t>
            </w:r>
          </w:p>
        </w:tc>
        <w:tc>
          <w:tcPr/>
          <w:p>
            <w:pPr>
              <w:pStyle w:val="Compact"/>
              <w:jc w:val="left"/>
            </w:pPr>
            <w:r>
              <w:t xml:space="preserve">—</w:t>
            </w:r>
          </w:p>
        </w:tc>
        <w:tc>
          <w:tcPr/>
          <w:p>
            <w:pPr>
              <w:pStyle w:val="Compact"/>
              <w:jc w:val="left"/>
            </w:pPr>
            <w:r>
              <w:t xml:space="preserve">Fixed</w:t>
            </w:r>
          </w:p>
        </w:tc>
        <w:tc>
          <w:tcPr/>
          <w:p>
            <w:pPr>
              <w:pStyle w:val="Compact"/>
              <w:jc w:val="left"/>
            </w:pPr>
            <w:r>
              <w:t xml:space="preserve">£1,200.00</w:t>
            </w:r>
          </w:p>
        </w:tc>
        <w:tc>
          <w:tcPr/>
          <w:p>
            <w:pPr>
              <w:pStyle w:val="Compact"/>
              <w:jc w:val="left"/>
            </w:pPr>
            <w:r>
              <w:t xml:space="preserve">£240.00</w:t>
            </w:r>
          </w:p>
        </w:tc>
      </w:tr>
      <w:tr>
        <w:tc>
          <w:tcPr>
            <w:gridSpan w:val="4"/>
          </w:tcPr>
          <w:p>
            <w:pPr>
              <w:pStyle w:val="Compact"/>
              <w:jc w:val="right"/>
            </w:pPr>
            <w:r>
              <w:t xml:space="preserve">Subtotal (Excl. VAT)</w:t>
            </w:r>
          </w:p>
        </w:tc>
        <w:tc>
          <w:tcPr/>
          <w:p>
            <w:pPr>
              <w:pStyle w:val="Compact"/>
              <w:jc w:val="left"/>
            </w:pPr>
            <w:r>
              <w:t xml:space="preserve">£55,475.00</w:t>
            </w:r>
          </w:p>
        </w:tc>
        <w:tc>
          <w:tcPr/>
          <w:p>
            <w:pPr>
              <w:pStyle w:val="Compact"/>
              <w:jc w:val="left"/>
            </w:pPr>
            <w:r>
              <w:t xml:space="preserve">£11,095.00</w:t>
            </w:r>
          </w:p>
        </w:tc>
      </w:tr>
      <w:tr>
        <w:tc>
          <w:tcPr>
            <w:gridSpan w:val="4"/>
          </w:tcPr>
          <w:p>
            <w:pPr>
              <w:pStyle w:val="Compact"/>
              <w:jc w:val="right"/>
            </w:pPr>
            <w:r>
              <w:t xml:space="preserve">Grand Total (Incl. 20% VAT)</w:t>
            </w:r>
          </w:p>
        </w:tc>
        <w:tc>
          <w:tcPr>
            <w:gridSpan w:val="2"/>
          </w:tcPr>
          <w:p>
            <w:pPr>
              <w:pStyle w:val="Compact"/>
              <w:jc w:val="left"/>
            </w:pPr>
            <w:r>
              <w:t xml:space="preserve">£66,570.00</w:t>
            </w:r>
          </w:p>
        </w:tc>
      </w:tr>
    </w:tbl>
    <w:p>
      <w:pPr>
        <w:pStyle w:val="BodyText"/>
      </w:pPr>
      <w:r>
        <w:rPr>
          <w:bCs/>
          <w:b/>
        </w:rPr>
        <w:t xml:space="preserve">Note:</w:t>
      </w:r>
      <w:r>
        <w:t xml:space="preserve"> </w:t>
      </w:r>
      <w:r>
        <w:t xml:space="preserve">This</w:t>
      </w:r>
      <w:r>
        <w:t xml:space="preserve"> </w:t>
      </w:r>
      <w:r>
        <w:t xml:space="preserve">Quotation Estimate</w:t>
      </w:r>
      <w:r>
        <w:t xml:space="preserve"> </w:t>
      </w:r>
      <w:r>
        <w:t xml:space="preserve">assumes a standard engagement timeline of 14 weeks. Should the scope of the</w:t>
      </w:r>
      <w:r>
        <w:t xml:space="preserve"> </w:t>
      </w:r>
      <w:r>
        <w:t xml:space="preserve">Auditor</w:t>
      </w:r>
      <w:r>
        <w:t xml:space="preserve">'s work expand beyond the parameters outlined above, additional fees will be agreed in writing prior to commencement of any supplementary work. All rates are exclusive of VAT, which is charged at the prevailing rate applicable in the United Kingdom.</w:t>
      </w:r>
    </w:p>
    <w:bookmarkEnd w:id="25"/>
    <w:bookmarkStart w:id="26" w:name="X06f751c0fef37426aad28df54ec1acd620508e5"/>
    <w:p>
      <w:pPr>
        <w:pStyle w:val="Heading2"/>
      </w:pPr>
      <w:r>
        <w:t xml:space="preserve">4. Terms &amp; Conditions of This Quotation Estimate</w:t>
      </w:r>
    </w:p>
    <w:p>
      <w:pPr>
        <w:numPr>
          <w:ilvl w:val="0"/>
          <w:numId w:val="1002"/>
        </w:numPr>
        <w:pStyle w:val="Compact"/>
      </w:pPr>
      <w:r>
        <w:rPr>
          <w:bCs/>
          <w:b/>
        </w:rPr>
        <w:t xml:space="preserve">Validity:</w:t>
      </w:r>
      <w:r>
        <w:t xml:space="preserve"> </w:t>
      </w:r>
      <w:r>
        <w:t xml:space="preserve">This</w:t>
      </w:r>
      <w:r>
        <w:t xml:space="preserve"> </w:t>
      </w:r>
      <w:r>
        <w:t xml:space="preserve">Quotation Estimate</w:t>
      </w:r>
      <w:r>
        <w:t xml:space="preserve"> </w:t>
      </w:r>
      <w:r>
        <w:t xml:space="preserve">is valid for a period of sixty (60) calendar days from the date of issue. Upon expiry, rates and availability of the designated</w:t>
      </w:r>
      <w:r>
        <w:t xml:space="preserve"> </w:t>
      </w:r>
      <w:r>
        <w:t xml:space="preserve">Auditor</w:t>
      </w:r>
      <w:r>
        <w:t xml:space="preserve"> </w:t>
      </w:r>
      <w:r>
        <w:t xml:space="preserve">team may be subject to revision.</w:t>
      </w:r>
    </w:p>
    <w:p>
      <w:pPr>
        <w:numPr>
          <w:ilvl w:val="0"/>
          <w:numId w:val="1002"/>
        </w:numPr>
        <w:pStyle w:val="Compact"/>
      </w:pPr>
      <w:r>
        <w:rPr>
          <w:bCs/>
          <w:b/>
        </w:rPr>
        <w:t xml:space="preserve">Payment Terms:</w:t>
      </w:r>
      <w:r>
        <w:t xml:space="preserve"> </w:t>
      </w:r>
      <w:r>
        <w:t xml:space="preserve">Invoices will be issued monthly in arrears. Payment is due within thirty (30) days of the invoice date. Late payments will attract interest at the rate of 4% above the Bank of England base rate, as permitted under the Late Payment of Commercial Debts (Interest) Act 1998.</w:t>
      </w:r>
    </w:p>
    <w:p>
      <w:pPr>
        <w:numPr>
          <w:ilvl w:val="0"/>
          <w:numId w:val="1002"/>
        </w:numPr>
        <w:pStyle w:val="Compact"/>
      </w:pPr>
      <w:r>
        <w:rPr>
          <w:bCs/>
          <w:b/>
        </w:rPr>
        <w:t xml:space="preserve">Confidentiality:</w:t>
      </w:r>
      <w:r>
        <w:t xml:space="preserve"> </w:t>
      </w:r>
      <w:r>
        <w:t xml:space="preserve">All information provided to the</w:t>
      </w:r>
      <w:r>
        <w:t xml:space="preserve"> </w:t>
      </w:r>
      <w:r>
        <w:t xml:space="preserve">Auditor</w:t>
      </w:r>
      <w:r>
        <w:t xml:space="preserve"> </w:t>
      </w:r>
      <w:r>
        <w:t xml:space="preserve">in the course of this engagement shall be treated in strict confidence in accordance with the Data Protection Act 2018 and UK GDPR, as applicable in</w:t>
      </w:r>
      <w:r>
        <w:t xml:space="preserve"> </w:t>
      </w:r>
      <w:r>
        <w:t xml:space="preserve">United Kingdom London</w:t>
      </w:r>
      <w:r>
        <w:t xml:space="preserve">.</w:t>
      </w:r>
    </w:p>
    <w:p>
      <w:pPr>
        <w:numPr>
          <w:ilvl w:val="0"/>
          <w:numId w:val="1002"/>
        </w:numPr>
        <w:pStyle w:val="Compact"/>
      </w:pPr>
      <w:r>
        <w:rPr>
          <w:bCs/>
          <w:b/>
        </w:rPr>
        <w:t xml:space="preserve">Professional Indemnity:</w:t>
      </w:r>
      <w:r>
        <w:t xml:space="preserve"> </w:t>
      </w:r>
      <w:r>
        <w:t xml:space="preserve">Meridian Audit &amp; Assurance LLP maintains professional indemnity insurance with a limit of not less than £10,000,000, as required by the FRC for audit firms operating in the United Kingdom.</w:t>
      </w:r>
    </w:p>
    <w:p>
      <w:pPr>
        <w:numPr>
          <w:ilvl w:val="0"/>
          <w:numId w:val="1002"/>
        </w:numPr>
        <w:pStyle w:val="Compact"/>
      </w:pPr>
      <w:r>
        <w:rPr>
          <w:bCs/>
          <w:b/>
        </w:rPr>
        <w:t xml:space="preserve">Independence:</w:t>
      </w:r>
      <w:r>
        <w:t xml:space="preserve"> </w:t>
      </w:r>
      <w:r>
        <w:t xml:space="preserve">The</w:t>
      </w:r>
      <w:r>
        <w:t xml:space="preserve"> </w:t>
      </w:r>
      <w:r>
        <w:t xml:space="preserve">Auditor</w:t>
      </w:r>
      <w:r>
        <w:t xml:space="preserve"> </w:t>
      </w:r>
      <w:r>
        <w:t xml:space="preserve">and all team members confirm their independence in accordance with the FRC Ethical Standard. No non-audit services that would impair independence will be provided without prior written consent.</w:t>
      </w:r>
    </w:p>
    <w:p>
      <w:pPr>
        <w:numPr>
          <w:ilvl w:val="0"/>
          <w:numId w:val="1002"/>
        </w:numPr>
        <w:pStyle w:val="Compact"/>
      </w:pPr>
      <w:r>
        <w:rPr>
          <w:bCs/>
          <w:b/>
        </w:rPr>
        <w:t xml:space="preserve">Governing Law:</w:t>
      </w:r>
      <w:r>
        <w:t xml:space="preserve"> </w:t>
      </w:r>
      <w:r>
        <w:t xml:space="preserve">This</w:t>
      </w:r>
      <w:r>
        <w:t xml:space="preserve"> </w:t>
      </w:r>
      <w:r>
        <w:t xml:space="preserve">Quotation Estimate</w:t>
      </w:r>
      <w:r>
        <w:t xml:space="preserve"> </w:t>
      </w:r>
      <w:r>
        <w:t xml:space="preserve">and any resulting contract shall be governed by and construed in accordance with the laws of England and Wales. Any disputes shall be subject to the exclusive jurisdiction of the courts of</w:t>
      </w:r>
      <w:r>
        <w:t xml:space="preserve"> </w:t>
      </w:r>
      <w:r>
        <w:t xml:space="preserve">United Kingdom London</w:t>
      </w:r>
      <w:r>
        <w:t xml:space="preserve">.</w:t>
      </w:r>
    </w:p>
    <w:p>
      <w:pPr>
        <w:numPr>
          <w:ilvl w:val="0"/>
          <w:numId w:val="1002"/>
        </w:numPr>
        <w:pStyle w:val="Compact"/>
      </w:pPr>
      <w:r>
        <w:rPr>
          <w:bCs/>
          <w:b/>
        </w:rPr>
        <w:t xml:space="preserve">Force Majeure:</w:t>
      </w:r>
      <w:r>
        <w:t xml:space="preserve"> </w:t>
      </w:r>
      <w:r>
        <w:t xml:space="preserve">Neither party shall be liable for failure to perform obligations due to events beyond reasonable control, including but not limited to acts of God, government regulation changes in the United Kingdom, or civil unrest in the London area.</w:t>
      </w:r>
    </w:p>
    <w:bookmarkEnd w:id="26"/>
    <w:bookmarkStart w:id="27" w:name="acceptance-authorisation"/>
    <w:p>
      <w:pPr>
        <w:pStyle w:val="Heading2"/>
      </w:pPr>
      <w:r>
        <w:t xml:space="preserve">5. Acceptance &amp; Authorisation</w:t>
      </w:r>
    </w:p>
    <w:p>
      <w:pPr>
        <w:pStyle w:val="FirstParagraph"/>
      </w:pPr>
      <w:r>
        <w:t xml:space="preserve">By signing below, both parties acknowledge that this</w:t>
      </w:r>
      <w:r>
        <w:t xml:space="preserve"> </w:t>
      </w:r>
      <w:r>
        <w:t xml:space="preserve">Quotation Estimate</w:t>
      </w:r>
      <w:r>
        <w:t xml:space="preserve"> </w:t>
      </w:r>
      <w:r>
        <w:t xml:space="preserve">accurately reflects the agreed scope, fees, and terms for the engagement of the</w:t>
      </w:r>
      <w:r>
        <w:t xml:space="preserve"> </w:t>
      </w:r>
      <w:r>
        <w:t xml:space="preserve">Auditor</w:t>
      </w:r>
      <w:r>
        <w:t xml:space="preserve"> </w:t>
      </w:r>
      <w:r>
        <w:t xml:space="preserve">for the services to be performed in</w:t>
      </w:r>
      <w:r>
        <w:t xml:space="preserve"> </w:t>
      </w:r>
      <w:r>
        <w:t xml:space="preserve">United Kingdom London</w:t>
      </w:r>
      <w:r>
        <w:t xml:space="preserve">. This document, once executed, shall form the basis of the formal engagement letter to be issued within five (5) business days.</w:t>
      </w:r>
    </w:p>
    <w:p>
      <w:pPr>
        <w:pStyle w:val="BodyText"/>
      </w:pPr>
      <w:r>
        <w:rPr>
          <w:bCs/>
          <w:b/>
        </w:rPr>
        <w:t xml:space="preserve">For and on behalf of Meridian Audit &amp; Assurance LLP</w:t>
      </w:r>
    </w:p>
    <w:p>
      <w:pPr>
        <w:pStyle w:val="BodyText"/>
      </w:pPr>
      <w:r>
        <w:t xml:space="preserve">Name: Sarah J. Pemberton, FCA</w:t>
      </w:r>
    </w:p>
    <w:p>
      <w:pPr>
        <w:pStyle w:val="BodyText"/>
      </w:pPr>
      <w:r>
        <w:t xml:space="preserve">Title: Managing Partner &amp; Lead Auditor</w:t>
      </w:r>
    </w:p>
    <w:p>
      <w:pPr>
        <w:pStyle w:val="BodyText"/>
      </w:pPr>
      <w:r>
        <w:t xml:space="preserve">Date: ______________________</w:t>
      </w:r>
    </w:p>
    <w:p>
      <w:pPr>
        <w:pStyle w:val="BodyText"/>
      </w:pPr>
      <w:r>
        <w:rPr>
          <w:bCs/>
          <w:b/>
        </w:rPr>
        <w:t xml:space="preserve">For and on behalf of Thameside Holdings Limited</w:t>
      </w:r>
    </w:p>
    <w:p>
      <w:pPr>
        <w:pStyle w:val="BodyText"/>
      </w:pPr>
      <w:r>
        <w:t xml:space="preserve">Name: David Whitmore</w:t>
      </w:r>
    </w:p>
    <w:p>
      <w:pPr>
        <w:pStyle w:val="BodyText"/>
      </w:pPr>
      <w:r>
        <w:t xml:space="preserve">Title: Chief Financial Officer</w:t>
      </w:r>
    </w:p>
    <w:p>
      <w:pPr>
        <w:pStyle w:val="BodyText"/>
      </w:pPr>
      <w:r>
        <w:t xml:space="preserve">Date: ______________________</w:t>
      </w:r>
    </w:p>
    <w:p>
      <w:pPr>
        <w:pStyle w:val="BodyText"/>
      </w:pPr>
      <w:r>
        <w:t xml:space="preserve">Meridian Audit &amp; Assurance LLP | Registered in England &amp; Wales No. 08765432 | FRC Firm Reference: 987654</w:t>
      </w:r>
    </w:p>
    <w:p>
      <w:pPr>
        <w:pStyle w:val="BodyText"/>
      </w:pPr>
      <w:r>
        <w:t xml:space="preserve">12 Finsbury Avenue, London EC2M 7EB, United Kingdom | This Quotation Estimate is the property of Meridian Audit &amp; Assurance LLP and is issued solely for the addressee named above.</w:t>
      </w:r>
    </w:p>
    <w:p>
      <w:pPr>
        <w:pStyle w:val="BodyText"/>
      </w:pPr>
      <w:r>
        <w:t xml:space="preserve">© 2025 Meridian Audit &amp; Assurance LLP. All rights reserved. Document Ref: QE-AUD-LON-2025-0472</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GB"/>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Auditor Services - United Kingdom London</dc:title>
  <dc:creator/>
  <dc:language>en-GB</dc:language>
  <cp:keywords/>
  <dcterms:created xsi:type="dcterms:W3CDTF">2026-10-10T03:48:21Z</dcterms:created>
  <dcterms:modified xsi:type="dcterms:W3CDTF">2026-10-10T03:48:21Z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