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quotation-estimate"/>
    <w:p>
      <w:pPr>
        <w:pStyle w:val="Heading1"/>
      </w:pPr>
      <w:r>
        <w:t xml:space="preserve">QUOTATION ESTIMATE</w:t>
      </w:r>
    </w:p>
    <w:p>
      <w:pPr>
        <w:pStyle w:val="FirstParagraph"/>
      </w:pPr>
      <w:r>
        <w:t xml:space="preserve">Professional Auditor Services — Miami, United States</w:t>
      </w:r>
    </w:p>
    <w:bookmarkEnd w:id="20"/>
    <w:bookmarkStart w:id="21" w:name="prepared-by"/>
    <w:p>
      <w:pPr>
        <w:pStyle w:val="Heading3"/>
      </w:pPr>
      <w:r>
        <w:t xml:space="preserve">Prepared By:</w:t>
      </w:r>
    </w:p>
    <w:p>
      <w:pPr>
        <w:pStyle w:val="FirstParagraph"/>
      </w:pPr>
      <w:r>
        <w:rPr>
          <w:bCs/>
          <w:b/>
        </w:rPr>
        <w:t xml:space="preserve">Atlantic Coast Audit &amp; Advisory Group, LLC</w:t>
      </w:r>
      <w:r>
        <w:br/>
      </w:r>
      <w:r>
        <w:t xml:space="preserve">3300 Brickell Avenue, Suite 2100</w:t>
      </w:r>
      <w:r>
        <w:br/>
      </w:r>
      <w:r>
        <w:t xml:space="preserve">Miami, Florida 33131</w:t>
      </w:r>
      <w:r>
        <w:br/>
      </w:r>
      <w:r>
        <w:t xml:space="preserve">United States</w:t>
      </w:r>
      <w:r>
        <w:br/>
      </w:r>
      <w:r>
        <w:t xml:space="preserve">Phone: (305) 555-0147</w:t>
      </w:r>
      <w:r>
        <w:br/>
      </w:r>
      <w:r>
        <w:t xml:space="preserve">Email: quotes@atlanticcoastaudit.com</w:t>
      </w:r>
      <w:r>
        <w:br/>
      </w:r>
      <w:r>
        <w:t xml:space="preserve">FEIN: 82-4471903</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r>
        <w:br/>
      </w:r>
      <w:r>
        <w:rPr>
          <w:bCs/>
          <w:b/>
        </w:rPr>
        <w:t xml:space="preserve">Address:</w:t>
      </w:r>
      <w:r>
        <w:t xml:space="preserve"> </w:t>
      </w:r>
      <w:r>
        <w:t xml:space="preserve">[Client Street Address]</w:t>
      </w:r>
      <w:r>
        <w:br/>
      </w:r>
      <w:r>
        <w:t xml:space="preserve">Miami, Florida [ZIP Code]</w:t>
      </w:r>
      <w:r>
        <w:br/>
      </w:r>
      <w:r>
        <w:t xml:space="preserve">United States</w:t>
      </w:r>
      <w:r>
        <w:br/>
      </w:r>
      <w:r>
        <w:rPr>
          <w:bCs/>
          <w:b/>
        </w:rPr>
        <w:t xml:space="preserve">Contact:</w:t>
      </w:r>
      <w:r>
        <w:t xml:space="preserve"> </w:t>
      </w:r>
      <w:r>
        <w:t xml:space="preserve">[Client Contact Person]</w:t>
      </w:r>
      <w:r>
        <w:br/>
      </w:r>
      <w:r>
        <w:rPr>
          <w:bCs/>
          <w:b/>
        </w:rPr>
        <w:t xml:space="preserve">Phone:</w:t>
      </w:r>
      <w:r>
        <w:t xml:space="preserve"> </w:t>
      </w:r>
      <w:r>
        <w:t xml:space="preserve">[Client Phone]</w:t>
      </w:r>
      <w:r>
        <w:br/>
      </w:r>
      <w:r>
        <w:rPr>
          <w:bCs/>
          <w:b/>
        </w:rPr>
        <w:t xml:space="preserve">Email:</w:t>
      </w:r>
      <w:r>
        <w:t xml:space="preserve"> </w:t>
      </w:r>
      <w:r>
        <w:t xml:space="preserve">[Client Email]</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QTE-2025-MIA-00847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Service Location:</w:t>
            </w:r>
          </w:p>
        </w:tc>
        <w:tc>
          <w:tcPr/>
          <w:p>
            <w:pPr>
              <w:pStyle w:val="Compact"/>
              <w:jc w:val="left"/>
            </w:pPr>
            <w:r>
              <w:t xml:space="preserve">Miami, Florida, United States</w:t>
            </w:r>
          </w:p>
        </w:tc>
      </w:tr>
      <w:tr>
        <w:tc>
          <w:tcPr/>
          <w:p>
            <w:pPr>
              <w:pStyle w:val="Compact"/>
              <w:jc w:val="left"/>
            </w:pPr>
            <w:r>
              <w:t xml:space="preserve">Engagement Type:</w:t>
            </w:r>
          </w:p>
        </w:tc>
        <w:tc>
          <w:tcPr/>
          <w:p>
            <w:pPr>
              <w:pStyle w:val="Compact"/>
              <w:jc w:val="left"/>
            </w:pPr>
            <w:r>
              <w:t xml:space="preserve">Independent Auditor — Annual Financial Audit</w:t>
            </w:r>
          </w:p>
        </w:tc>
      </w:tr>
      <w:tr>
        <w:tc>
          <w:tcPr/>
          <w:p>
            <w:pPr>
              <w:pStyle w:val="Compact"/>
              <w:jc w:val="left"/>
            </w:pPr>
            <w:r>
              <w:t xml:space="preserve">Currency:</w:t>
            </w:r>
          </w:p>
        </w:tc>
        <w:tc>
          <w:tcPr/>
          <w:p>
            <w:pPr>
              <w:pStyle w:val="Compact"/>
              <w:jc w:val="left"/>
            </w:pPr>
            <w:r>
              <w:t xml:space="preserve">United States Dollars (USD)</w:t>
            </w:r>
          </w:p>
        </w:tc>
      </w:tr>
    </w:tbl>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Atlantic Coast Audit &amp; Advisory Group, LLC to provide a comprehensive and itemized cost projection for the engagement of a licensed</w:t>
      </w:r>
      <w:r>
        <w:t xml:space="preserve"> </w:t>
      </w:r>
      <w:r>
        <w:t xml:space="preserve">Auditor</w:t>
      </w:r>
      <w:r>
        <w:t xml:space="preserve"> </w:t>
      </w:r>
      <w:r>
        <w:t xml:space="preserve">to perform a full-scope independent financial audit of the client's operations and financial statements. All services described herein will be rendered in and around the</w:t>
      </w:r>
      <w:r>
        <w:t xml:space="preserve"> </w:t>
      </w:r>
      <w:r>
        <w:t xml:space="preserve">United States Miami</w:t>
      </w:r>
      <w:r>
        <w:t xml:space="preserve"> </w:t>
      </w:r>
      <w:r>
        <w:t xml:space="preserve">metropolitan area, in strict compliance with Generally Accepted Auditing Standards (GAAS) as established by the American Institute of Certified Public Accountants (AICPA) and applicable Florida Board of Accountancy regulations.</w:t>
      </w:r>
    </w:p>
    <w:p>
      <w:pPr>
        <w:pStyle w:val="BodyText"/>
      </w:pPr>
      <w:r>
        <w:t xml:space="preserve">This</w:t>
      </w:r>
      <w:r>
        <w:t xml:space="preserve"> </w:t>
      </w:r>
      <w:r>
        <w:t xml:space="preserve">Quotation Estimate</w:t>
      </w:r>
      <w:r>
        <w:t xml:space="preserve"> </w:t>
      </w:r>
      <w:r>
        <w:t xml:space="preserve">is a non-binding projection of fees and is intended solely for the client's internal budgeting and approval purposes. It does not constitute a contractual obligation until formally accepted in writing by both parties. The</w:t>
      </w:r>
      <w:r>
        <w:t xml:space="preserve"> </w:t>
      </w:r>
      <w:r>
        <w:t xml:space="preserve">Auditor</w:t>
      </w:r>
      <w:r>
        <w:t xml:space="preserve"> </w:t>
      </w:r>
      <w:r>
        <w:t xml:space="preserve">engagement described below is tailored to the specific regulatory, tax, and operational environment of the</w:t>
      </w:r>
      <w:r>
        <w:t xml:space="preserve"> </w:t>
      </w:r>
      <w:r>
        <w:t xml:space="preserve">United States Miami</w:t>
      </w:r>
      <w:r>
        <w:t xml:space="preserve"> </w:t>
      </w:r>
      <w:r>
        <w:t xml:space="preserve">business district, including considerations for multi-state operations, international trade compliance, and Florida-specific corporate tax obligations.</w:t>
      </w:r>
    </w:p>
    <w:bookmarkEnd w:id="23"/>
    <w:bookmarkStart w:id="24" w:name="Xf51106f5c8a9115c9baf5725e4b1d039d62c09d"/>
    <w:p>
      <w:pPr>
        <w:pStyle w:val="Heading2"/>
      </w:pPr>
      <w:r>
        <w:t xml:space="preserve">2. Detailed Breakdown of Auditor Services and Fees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Units</w:t>
            </w:r>
          </w:p>
        </w:tc>
        <w:tc>
          <w:tcPr/>
          <w:p>
            <w:pPr>
              <w:pStyle w:val="Compact"/>
              <w:jc w:val="left"/>
            </w:pPr>
            <w:r>
              <w:t xml:space="preserve">Rate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Pre-Audit Planning &amp; Risk Assessment by Lead Auditor</w:t>
            </w:r>
          </w:p>
        </w:tc>
        <w:tc>
          <w:tcPr/>
          <w:p>
            <w:pPr>
              <w:pStyle w:val="Compact"/>
              <w:jc w:val="left"/>
            </w:pPr>
            <w:r>
              <w:t xml:space="preserve">3 days</w:t>
            </w:r>
          </w:p>
        </w:tc>
        <w:tc>
          <w:tcPr/>
          <w:p>
            <w:pPr>
              <w:pStyle w:val="Compact"/>
              <w:jc w:val="left"/>
            </w:pPr>
            <w:r>
              <w:t xml:space="preserve">$320.00 / hr</w:t>
            </w:r>
          </w:p>
        </w:tc>
        <w:tc>
          <w:tcPr/>
          <w:p>
            <w:pPr>
              <w:pStyle w:val="Compact"/>
              <w:jc w:val="left"/>
            </w:pPr>
            <w:r>
              <w:t xml:space="preserve">$7,680.00</w:t>
            </w:r>
          </w:p>
        </w:tc>
        <w:tc>
          <w:tcPr/>
          <w:p>
            <w:pPr>
              <w:pStyle w:val="Compact"/>
              <w:jc w:val="left"/>
            </w:pPr>
            <w:r>
              <w:t xml:space="preserve">On-site, Miami office</w:t>
            </w:r>
          </w:p>
        </w:tc>
      </w:tr>
      <w:tr>
        <w:tc>
          <w:tcPr/>
          <w:p>
            <w:pPr>
              <w:pStyle w:val="Compact"/>
              <w:jc w:val="left"/>
            </w:pPr>
            <w:r>
              <w:t xml:space="preserve">2</w:t>
            </w:r>
          </w:p>
        </w:tc>
        <w:tc>
          <w:tcPr/>
          <w:p>
            <w:pPr>
              <w:pStyle w:val="Compact"/>
              <w:jc w:val="left"/>
            </w:pPr>
            <w:r>
              <w:t xml:space="preserve">Internal Controls Evaluation &amp; Documentation Review</w:t>
            </w:r>
          </w:p>
        </w:tc>
        <w:tc>
          <w:tcPr/>
          <w:p>
            <w:pPr>
              <w:pStyle w:val="Compact"/>
              <w:jc w:val="left"/>
            </w:pPr>
            <w:r>
              <w:t xml:space="preserve">5 days</w:t>
            </w:r>
          </w:p>
        </w:tc>
        <w:tc>
          <w:tcPr/>
          <w:p>
            <w:pPr>
              <w:pStyle w:val="Compact"/>
              <w:jc w:val="left"/>
            </w:pPr>
            <w:r>
              <w:t xml:space="preserve">$285.00 / hr</w:t>
            </w:r>
          </w:p>
        </w:tc>
        <w:tc>
          <w:tcPr/>
          <w:p>
            <w:pPr>
              <w:pStyle w:val="Compact"/>
              <w:jc w:val="left"/>
            </w:pPr>
            <w:r>
              <w:t xml:space="preserve">$11,400.00</w:t>
            </w:r>
          </w:p>
        </w:tc>
        <w:tc>
          <w:tcPr/>
          <w:p>
            <w:pPr>
              <w:pStyle w:val="Compact"/>
              <w:jc w:val="left"/>
            </w:pPr>
            <w:r>
              <w:t xml:space="preserve">Senior Auditor staff</w:t>
            </w:r>
          </w:p>
        </w:tc>
      </w:tr>
      <w:tr>
        <w:tc>
          <w:tcPr/>
          <w:p>
            <w:pPr>
              <w:pStyle w:val="Compact"/>
              <w:jc w:val="left"/>
            </w:pPr>
            <w:r>
              <w:t xml:space="preserve">3</w:t>
            </w:r>
          </w:p>
        </w:tc>
        <w:tc>
          <w:tcPr/>
          <w:p>
            <w:pPr>
              <w:pStyle w:val="Compact"/>
              <w:jc w:val="left"/>
            </w:pPr>
            <w:r>
              <w:t xml:space="preserve">Substantive Testing of Financial Transactions (Revenue, Expenses, Assets, Liabilities)</w:t>
            </w:r>
          </w:p>
        </w:tc>
        <w:tc>
          <w:tcPr/>
          <w:p>
            <w:pPr>
              <w:pStyle w:val="Compact"/>
              <w:jc w:val="left"/>
            </w:pPr>
            <w:r>
              <w:t xml:space="preserve">10 days</w:t>
            </w:r>
          </w:p>
        </w:tc>
        <w:tc>
          <w:tcPr/>
          <w:p>
            <w:pPr>
              <w:pStyle w:val="Compact"/>
              <w:jc w:val="left"/>
            </w:pPr>
            <w:r>
              <w:t xml:space="preserve">$265.00 / hr</w:t>
            </w:r>
          </w:p>
        </w:tc>
        <w:tc>
          <w:tcPr/>
          <w:p>
            <w:pPr>
              <w:pStyle w:val="Compact"/>
              <w:jc w:val="left"/>
            </w:pPr>
            <w:r>
              <w:t xml:space="preserve">$21,200.00</w:t>
            </w:r>
          </w:p>
        </w:tc>
        <w:tc>
          <w:tcPr/>
          <w:p>
            <w:pPr>
              <w:pStyle w:val="Compact"/>
              <w:jc w:val="left"/>
            </w:pPr>
            <w:r>
              <w:t xml:space="preserve">Fieldwork phase</w:t>
            </w:r>
          </w:p>
        </w:tc>
      </w:tr>
      <w:tr>
        <w:tc>
          <w:tcPr/>
          <w:p>
            <w:pPr>
              <w:pStyle w:val="Compact"/>
              <w:jc w:val="left"/>
            </w:pPr>
            <w:r>
              <w:t xml:space="preserve">4</w:t>
            </w:r>
          </w:p>
        </w:tc>
        <w:tc>
          <w:tcPr/>
          <w:p>
            <w:pPr>
              <w:pStyle w:val="Compact"/>
              <w:jc w:val="left"/>
            </w:pPr>
            <w:r>
              <w:t xml:space="preserve">Compliance Audit — Florida State Tax &amp; Federal IRS Requirements</w:t>
            </w:r>
          </w:p>
        </w:tc>
        <w:tc>
          <w:tcPr/>
          <w:p>
            <w:pPr>
              <w:pStyle w:val="Compact"/>
              <w:jc w:val="left"/>
            </w:pPr>
            <w:r>
              <w:t xml:space="preserve">4 days</w:t>
            </w:r>
          </w:p>
        </w:tc>
        <w:tc>
          <w:tcPr/>
          <w:p>
            <w:pPr>
              <w:pStyle w:val="Compact"/>
              <w:jc w:val="left"/>
            </w:pPr>
            <w:r>
              <w:t xml:space="preserve">$310.00 / hr</w:t>
            </w:r>
          </w:p>
        </w:tc>
        <w:tc>
          <w:tcPr/>
          <w:p>
            <w:pPr>
              <w:pStyle w:val="Compact"/>
              <w:jc w:val="left"/>
            </w:pPr>
            <w:r>
              <w:t xml:space="preserve">$9,920.00</w:t>
            </w:r>
          </w:p>
        </w:tc>
        <w:tc>
          <w:tcPr/>
          <w:p>
            <w:pPr>
              <w:pStyle w:val="Compact"/>
              <w:jc w:val="left"/>
            </w:pPr>
            <w:r>
              <w:t xml:space="preserve">United States Miami jurisdiction</w:t>
            </w:r>
          </w:p>
        </w:tc>
      </w:tr>
      <w:tr>
        <w:tc>
          <w:tcPr/>
          <w:p>
            <w:pPr>
              <w:pStyle w:val="Compact"/>
              <w:jc w:val="left"/>
            </w:pPr>
            <w:r>
              <w:t xml:space="preserve">5</w:t>
            </w:r>
          </w:p>
        </w:tc>
        <w:tc>
          <w:tcPr/>
          <w:p>
            <w:pPr>
              <w:pStyle w:val="Compact"/>
              <w:jc w:val="left"/>
            </w:pPr>
            <w:r>
              <w:t xml:space="preserve">Inventory &amp; Fixed Asset Physical Verification</w:t>
            </w:r>
          </w:p>
        </w:tc>
        <w:tc>
          <w:tcPr/>
          <w:p>
            <w:pPr>
              <w:pStyle w:val="Compact"/>
              <w:jc w:val="left"/>
            </w:pPr>
            <w:r>
              <w:t xml:space="preserve">3 days</w:t>
            </w:r>
          </w:p>
        </w:tc>
        <w:tc>
          <w:tcPr/>
          <w:p>
            <w:pPr>
              <w:pStyle w:val="Compact"/>
              <w:jc w:val="left"/>
            </w:pPr>
            <w:r>
              <w:t xml:space="preserve">$240.00 / hr</w:t>
            </w:r>
          </w:p>
        </w:tc>
        <w:tc>
          <w:tcPr/>
          <w:p>
            <w:pPr>
              <w:pStyle w:val="Compact"/>
              <w:jc w:val="left"/>
            </w:pPr>
            <w:r>
              <w:t xml:space="preserve">$5,760.00</w:t>
            </w:r>
          </w:p>
        </w:tc>
        <w:tc>
          <w:tcPr/>
          <w:p>
            <w:pPr>
              <w:pStyle w:val="Compact"/>
              <w:jc w:val="left"/>
            </w:pPr>
            <w:r>
              <w:t xml:space="preserve">Client warehouse, Miami-Dade County</w:t>
            </w:r>
          </w:p>
        </w:tc>
      </w:tr>
      <w:tr>
        <w:tc>
          <w:tcPr/>
          <w:p>
            <w:pPr>
              <w:pStyle w:val="Compact"/>
              <w:jc w:val="left"/>
            </w:pPr>
            <w:r>
              <w:t xml:space="preserve">6</w:t>
            </w:r>
          </w:p>
        </w:tc>
        <w:tc>
          <w:tcPr/>
          <w:p>
            <w:pPr>
              <w:pStyle w:val="Compact"/>
              <w:jc w:val="left"/>
            </w:pPr>
            <w:r>
              <w:t xml:space="preserve">Management Letter &amp; Findings Report Preparation</w:t>
            </w:r>
          </w:p>
        </w:tc>
        <w:tc>
          <w:tcPr/>
          <w:p>
            <w:pPr>
              <w:pStyle w:val="Compact"/>
              <w:jc w:val="left"/>
            </w:pPr>
            <w:r>
              <w:t xml:space="preserve">3 days</w:t>
            </w:r>
          </w:p>
        </w:tc>
        <w:tc>
          <w:tcPr/>
          <w:p>
            <w:pPr>
              <w:pStyle w:val="Compact"/>
              <w:jc w:val="left"/>
            </w:pPr>
            <w:r>
              <w:t xml:space="preserve">$320.00 / hr</w:t>
            </w:r>
          </w:p>
        </w:tc>
        <w:tc>
          <w:tcPr/>
          <w:p>
            <w:pPr>
              <w:pStyle w:val="Compact"/>
              <w:jc w:val="left"/>
            </w:pPr>
            <w:r>
              <w:t xml:space="preserve">$7,680.00</w:t>
            </w:r>
          </w:p>
        </w:tc>
        <w:tc>
          <w:tcPr/>
          <w:p>
            <w:pPr>
              <w:pStyle w:val="Compact"/>
              <w:jc w:val="left"/>
            </w:pPr>
            <w:r>
              <w:t xml:space="preserve">Lead Auditor</w:t>
            </w:r>
          </w:p>
        </w:tc>
      </w:tr>
      <w:tr>
        <w:tc>
          <w:tcPr/>
          <w:p>
            <w:pPr>
              <w:pStyle w:val="Compact"/>
              <w:jc w:val="left"/>
            </w:pPr>
            <w:r>
              <w:t xml:space="preserve">7</w:t>
            </w:r>
          </w:p>
        </w:tc>
        <w:tc>
          <w:tcPr/>
          <w:p>
            <w:pPr>
              <w:pStyle w:val="Compact"/>
              <w:jc w:val="left"/>
            </w:pPr>
            <w:r>
              <w:t xml:space="preserve">Audit Committee Presentation &amp; Final Sign-Off</w:t>
            </w:r>
          </w:p>
        </w:tc>
        <w:tc>
          <w:tcPr/>
          <w:p>
            <w:pPr>
              <w:pStyle w:val="Compact"/>
              <w:jc w:val="left"/>
            </w:pPr>
            <w:r>
              <w:t xml:space="preserve">1 day</w:t>
            </w:r>
          </w:p>
        </w:tc>
        <w:tc>
          <w:tcPr/>
          <w:p>
            <w:pPr>
              <w:pStyle w:val="Compact"/>
              <w:jc w:val="left"/>
            </w:pPr>
            <w:r>
              <w:t xml:space="preserve">$350.00 / hr</w:t>
            </w:r>
          </w:p>
        </w:tc>
        <w:tc>
          <w:tcPr/>
          <w:p>
            <w:pPr>
              <w:pStyle w:val="Compact"/>
              <w:jc w:val="left"/>
            </w:pPr>
            <w:r>
              <w:t xml:space="preserve">$2,800.00</w:t>
            </w:r>
          </w:p>
        </w:tc>
        <w:tc>
          <w:tcPr/>
          <w:p>
            <w:pPr>
              <w:pStyle w:val="Compact"/>
              <w:jc w:val="left"/>
            </w:pPr>
            <w:r>
              <w:t xml:space="preserve">Partner-level Auditor</w:t>
            </w:r>
          </w:p>
        </w:tc>
      </w:tr>
      <w:tr>
        <w:tc>
          <w:tcPr/>
          <w:p>
            <w:pPr>
              <w:pStyle w:val="Compact"/>
              <w:jc w:val="left"/>
            </w:pPr>
            <w:r>
              <w:t xml:space="preserve">8</w:t>
            </w:r>
          </w:p>
        </w:tc>
        <w:tc>
          <w:tcPr/>
          <w:p>
            <w:pPr>
              <w:pStyle w:val="Compact"/>
              <w:jc w:val="left"/>
            </w:pPr>
            <w:r>
              <w:t xml:space="preserve">Travel, Local Transportation &amp; Miscellaneous Expenses (Miami area)</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$1,560.00</w:t>
            </w:r>
          </w:p>
        </w:tc>
        <w:tc>
          <w:tcPr/>
          <w:p>
            <w:pPr>
              <w:pStyle w:val="Compact"/>
              <w:jc w:val="left"/>
            </w:pPr>
            <w:r>
              <w:t xml:space="preserve">Estimate; actuals billed</w:t>
            </w:r>
          </w:p>
        </w:tc>
      </w:tr>
      <w:tr>
        <w:tc>
          <w:tcPr>
            <w:gridSpan w:val="4"/>
          </w:tcPr>
          <w:p>
            <w:pPr>
              <w:pStyle w:val="Compact"/>
              <w:jc w:val="right"/>
            </w:pPr>
            <w:r>
              <w:t xml:space="preserve">TOTAL ESTIMATED FEE:</w:t>
            </w:r>
          </w:p>
        </w:tc>
        <w:tc>
          <w:tcPr/>
          <w:p>
            <w:pPr>
              <w:pStyle w:val="Compact"/>
              <w:jc w:val="left"/>
            </w:pPr>
            <w:r>
              <w:t xml:space="preserve">$67,000.00</w:t>
            </w:r>
          </w:p>
        </w:tc>
        <w:tc>
          <w:tcPr/>
          <w:p>
            <w:pPr>
              <w:pStyle w:val="Compact"/>
              <w:jc w:val="left"/>
            </w:pPr>
            <w:r>
              <w:t xml:space="preserve">USD</w:t>
            </w:r>
          </w:p>
        </w:tc>
      </w:tr>
      <w:tr>
        <w:tc>
          <w:tcPr>
            <w:gridSpan w:val="4"/>
          </w:tcPr>
          <w:p>
            <w:pPr>
              <w:pStyle w:val="Compact"/>
              <w:jc w:val="right"/>
            </w:pPr>
            <w:r>
              <w:t xml:space="preserve">Applicable Florida Sales &amp; Service Tax (7.0%):</w:t>
            </w:r>
          </w:p>
        </w:tc>
        <w:tc>
          <w:tcPr/>
          <w:p>
            <w:pPr>
              <w:pStyle w:val="Compact"/>
              <w:jc w:val="left"/>
            </w:pPr>
            <w:r>
              <w:t xml:space="preserve">$4,690.00</w:t>
            </w:r>
          </w:p>
        </w:tc>
        <w:tc>
          <w:tcPr/>
          <w:p>
            <w:pPr>
              <w:pStyle w:val="Compact"/>
              <w:jc w:val="left"/>
            </w:pPr>
            <w:r>
              <w:t xml:space="preserve">USD</w:t>
            </w:r>
          </w:p>
        </w:tc>
      </w:tr>
      <w:tr>
        <w:tc>
          <w:tcPr>
            <w:gridSpan w:val="4"/>
          </w:tcPr>
          <w:p>
            <w:pPr>
              <w:pStyle w:val="Compact"/>
              <w:jc w:val="right"/>
            </w:pPr>
            <w:r>
              <w:t xml:space="preserve">GRAND TOTAL:</w:t>
            </w:r>
          </w:p>
        </w:tc>
        <w:tc>
          <w:tcPr/>
          <w:p>
            <w:pPr>
              <w:pStyle w:val="Compact"/>
              <w:jc w:val="left"/>
            </w:pPr>
            <w:r>
              <w:t xml:space="preserve">$71,690.00</w:t>
            </w:r>
          </w:p>
        </w:tc>
        <w:tc>
          <w:tcPr/>
          <w:p>
            <w:pPr>
              <w:pStyle w:val="Compact"/>
              <w:jc w:val="left"/>
            </w:pPr>
            <w:r>
              <w:t xml:space="preserve">USD</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and fee structures are subject to revision based on current market conditions in the</w:t>
      </w:r>
      <w:r>
        <w:t xml:space="preserve"> </w:t>
      </w:r>
      <w:r>
        <w:t xml:space="preserve">United States Miami</w:t>
      </w:r>
      <w:r>
        <w:t xml:space="preserve"> </w:t>
      </w:r>
      <w:r>
        <w:t xml:space="preserve">professional services sector.</w:t>
      </w:r>
    </w:p>
    <w:p>
      <w:pPr>
        <w:numPr>
          <w:ilvl w:val="0"/>
          <w:numId w:val="1001"/>
        </w:numPr>
        <w:pStyle w:val="Compact"/>
      </w:pPr>
      <w:r>
        <w:t xml:space="preserve">The</w:t>
      </w:r>
      <w:r>
        <w:t xml:space="preserve"> </w:t>
      </w:r>
      <w:r>
        <w:t xml:space="preserve">Auditor</w:t>
      </w:r>
      <w:r>
        <w:t xml:space="preserve"> </w:t>
      </w:r>
      <w:r>
        <w:t xml:space="preserve">engagement will commence no earlier than the date of written acceptance and will be conducted in accordance with the project timeline mutually agreed upon by both parties. All fieldwork will be performed primarily at the client's premises in Miami, Florida, United States, with remote work permitted for report drafting phases.</w:t>
      </w:r>
    </w:p>
    <w:p>
      <w:pPr>
        <w:numPr>
          <w:ilvl w:val="0"/>
          <w:numId w:val="1001"/>
        </w:numPr>
        <w:pStyle w:val="Compact"/>
      </w:pPr>
      <w:r>
        <w:t xml:space="preserve">Payment terms: Fifty percent (50%) of the total estimated fee is due upon execution of the engagement letter. The remaining fifty percent (50%) is due within fifteen (15) business days of the Auditor's final report delivery. Late payments will accrue interest at 1.5% per month as permitted under Florida Statute Chapter 559.</w:t>
      </w:r>
    </w:p>
    <w:p>
      <w:pPr>
        <w:numPr>
          <w:ilvl w:val="0"/>
          <w:numId w:val="1001"/>
        </w:numPr>
        <w:pStyle w:val="Compact"/>
      </w:pPr>
      <w:r>
        <w:t xml:space="preserve">All fees quoted in this</w:t>
      </w:r>
      <w:r>
        <w:t xml:space="preserve"> </w:t>
      </w:r>
      <w:r>
        <w:t xml:space="preserve">Quotation Estimate</w:t>
      </w:r>
      <w:r>
        <w:t xml:space="preserve"> </w:t>
      </w:r>
      <w:r>
        <w:t xml:space="preserve">are in United States Dollars (USD). No foreign currency conversion will apply, as all services are rendered within the</w:t>
      </w:r>
      <w:r>
        <w:t xml:space="preserve"> </w:t>
      </w:r>
      <w:r>
        <w:t xml:space="preserve">United States Miami</w:t>
      </w:r>
      <w:r>
        <w:t xml:space="preserve"> </w:t>
      </w:r>
      <w:r>
        <w:t xml:space="preserve">metropolitan area.</w:t>
      </w:r>
    </w:p>
    <w:p>
      <w:pPr>
        <w:numPr>
          <w:ilvl w:val="0"/>
          <w:numId w:val="1001"/>
        </w:numPr>
        <w:pStyle w:val="Compact"/>
      </w:pPr>
      <w:r>
        <w:t xml:space="preserve">The</w:t>
      </w:r>
      <w:r>
        <w:t xml:space="preserve"> </w:t>
      </w:r>
      <w:r>
        <w:t xml:space="preserve">Auditor</w:t>
      </w:r>
      <w:r>
        <w:t xml:space="preserve"> </w:t>
      </w:r>
      <w:r>
        <w:t xml:space="preserve">is licensed by the Florida Board of Accountancy (License No. CP-104872) and is a member in good standing of the AICPA. The Auditor maintains professional liability insurance with a minimum coverage of $5,000,000 per occurrence.</w:t>
      </w:r>
    </w:p>
    <w:p>
      <w:pPr>
        <w:numPr>
          <w:ilvl w:val="0"/>
          <w:numId w:val="1001"/>
        </w:numPr>
        <w:pStyle w:val="Compact"/>
      </w:pPr>
      <w:r>
        <w:t xml:space="preserve">Confidentiality: All financial data, trade secrets, and proprietary information accessed during the audit engagement will be treated as strictly confidential. This obligation survives the termination of the engagement for a period of five (5) years, in compliance with the Florida Information Protection Act (FIPA).</w:t>
      </w:r>
    </w:p>
    <w:p>
      <w:pPr>
        <w:numPr>
          <w:ilvl w:val="0"/>
          <w:numId w:val="1001"/>
        </w:numPr>
        <w:pStyle w:val="Compact"/>
      </w:pPr>
      <w:r>
        <w:t xml:space="preserve">Scope limitation: This</w:t>
      </w:r>
      <w:r>
        <w:t xml:space="preserve"> </w:t>
      </w:r>
      <w:r>
        <w:t xml:space="preserve">Quotation Estimate</w:t>
      </w:r>
      <w:r>
        <w:t xml:space="preserve"> </w:t>
      </w:r>
      <w:r>
        <w:t xml:space="preserve">covers a standard annual financial audit. Any additional procedures, forensic investigations, or special-purpose audits requested by the client beyond the scope described in Section 2 will be quoted separately and require a written amendment to this document.</w:t>
      </w:r>
    </w:p>
    <w:p>
      <w:pPr>
        <w:numPr>
          <w:ilvl w:val="0"/>
          <w:numId w:val="1001"/>
        </w:numPr>
        <w:pStyle w:val="Compact"/>
      </w:pPr>
      <w:r>
        <w:t xml:space="preserve">Governing Law: This Quotation Estimate and any resulting engagement agreement shall be governed by and construed in accordance with the laws of the State of Florida, United States. Any disputes shall be resolved through binding arbitration in Miami-Dade County, Florida, in accordance with the rules of the American Arbitration Association.</w:t>
      </w:r>
    </w:p>
    <w:p>
      <w:pPr>
        <w:numPr>
          <w:ilvl w:val="0"/>
          <w:numId w:val="1001"/>
        </w:numPr>
        <w:pStyle w:val="Compact"/>
      </w:pPr>
      <w:r>
        <w:t xml:space="preserve">The Auditor reserves the right to withdraw from the engagement with thirty (30) days' written notice if the client fails to provide timely access to records, personnel, or facilities necessary to complete the audit in the</w:t>
      </w:r>
      <w:r>
        <w:t xml:space="preserve"> </w:t>
      </w:r>
      <w:r>
        <w:t xml:space="preserve">United States Miami</w:t>
      </w:r>
      <w:r>
        <w:t xml:space="preserve"> </w:t>
      </w:r>
      <w:r>
        <w:t xml:space="preserve">area.</w:t>
      </w:r>
    </w:p>
    <w:bookmarkEnd w:id="25"/>
    <w:bookmarkStart w:id="28"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Atlantic Coast Audit &amp; Advisory Group, LLC to proceed with the</w:t>
      </w:r>
      <w:r>
        <w:t xml:space="preserve"> </w:t>
      </w:r>
      <w:r>
        <w:t xml:space="preserve">Auditor</w:t>
      </w:r>
      <w:r>
        <w:t xml:space="preserve"> </w:t>
      </w:r>
      <w:r>
        <w:t xml:space="preserve">engagement as described herein, subject to the terms and conditions stated above. This acceptance constitutes a binding agreement for the services rendered in the</w:t>
      </w:r>
      <w:r>
        <w:t xml:space="preserve"> </w:t>
      </w:r>
      <w:r>
        <w:t xml:space="preserve">United States Miami</w:t>
      </w:r>
      <w:r>
        <w:t xml:space="preserve"> </w:t>
      </w:r>
      <w:r>
        <w:t xml:space="preserve">area.</w:t>
      </w:r>
    </w:p>
    <w:bookmarkStart w:id="26" w:name="X4a1c6035d83864ddc591f737c1ea9ca486b2577"/>
    <w:p>
      <w:pPr>
        <w:pStyle w:val="Heading4"/>
      </w:pPr>
      <w:r>
        <w:t xml:space="preserve">For Atlantic Coast Audit &amp; Advisory Group, LLC</w:t>
      </w:r>
    </w:p>
    <w:p>
      <w:pPr>
        <w:pStyle w:val="FirstParagraph"/>
      </w:pPr>
      <w:r>
        <w:t xml:space="preserve">Authorized Signatory:</w:t>
      </w:r>
    </w:p>
    <w:p>
      <w:pPr>
        <w:pStyle w:val="BodyText"/>
      </w:pPr>
      <w:r>
        <w:t xml:space="preserve">Name / Title / Signature / Date</w:t>
      </w:r>
    </w:p>
    <w:bookmarkEnd w:id="26"/>
    <w:bookmarkStart w:id="27" w:name="for-the-client"/>
    <w:p>
      <w:pPr>
        <w:pStyle w:val="Heading4"/>
      </w:pPr>
      <w:r>
        <w:t xml:space="preserve">For the Client</w:t>
      </w:r>
    </w:p>
    <w:p>
      <w:pPr>
        <w:pStyle w:val="FirstParagraph"/>
      </w:pPr>
      <w:r>
        <w:t xml:space="preserve">Authorized Signatory:</w:t>
      </w:r>
    </w:p>
    <w:p>
      <w:pPr>
        <w:pStyle w:val="BodyText"/>
      </w:pPr>
      <w:r>
        <w:t xml:space="preserve">Name / Title / Signature / Date</w:t>
      </w:r>
    </w:p>
    <w:bookmarkEnd w:id="27"/>
    <w:p>
      <w:pPr>
        <w:pStyle w:val="BodyText"/>
      </w:pPr>
      <w:r>
        <w:t xml:space="preserve">Atlantic Coast Audit &amp; Advisory Group, LLC — 3300 Brickell Avenue, Suite 2100, Miami, FL 33131, United States</w:t>
      </w:r>
      <w:r>
        <w:br/>
      </w:r>
      <w:r>
        <w:t xml:space="preserve">This Quotation Estimate (QTE-2025-MIA-00847) is the property of the issuing firm and the client. Unauthorized reproduction is prohibited.</w:t>
      </w:r>
      <w:r>
        <w:br/>
      </w:r>
      <w:r>
        <w:t xml:space="preserve">© 2025 Atlantic Coast Audit &amp; Advisory Group, LLC.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Miami, United States</dc:title>
  <dc:creator/>
  <dc:language>en</dc:language>
  <cp:keywords/>
  <dcterms:created xsi:type="dcterms:W3CDTF">2026-10-10T04:34:06Z</dcterms:created>
  <dcterms:modified xsi:type="dcterms:W3CDTF">2026-10-10T04:34:06Z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